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12" w:rsidRDefault="00830CF8" w:rsidP="00814112">
      <w:r w:rsidRPr="00830CF8">
        <w:rPr>
          <w:noProof/>
          <w:sz w:val="28"/>
          <w:szCs w:val="28"/>
        </w:rPr>
        <w:pict>
          <v:shapetype id="_x0000_t202" coordsize="21600,21600" o:spt="202" path="m,l,21600r21600,l21600,xe">
            <v:stroke joinstyle="miter"/>
            <v:path gradientshapeok="t" o:connecttype="rect"/>
          </v:shapetype>
          <v:shape id="_x0000_s1036" type="#_x0000_t202" style="position:absolute;margin-left:170.45pt;margin-top:-2.3pt;width:324.55pt;height:133.75pt;z-index:-251650048" stroked="f">
            <v:textbox style="mso-next-textbox:#_x0000_s1036">
              <w:txbxContent>
                <w:p w:rsidR="00814112" w:rsidRDefault="00830CF8" w:rsidP="00814112">
                  <w:pPr>
                    <w:rPr>
                      <w:b/>
                      <w:bCs/>
                      <w:color w:val="FF6600"/>
                      <w:sz w:val="40"/>
                      <w:szCs w:val="40"/>
                    </w:rPr>
                  </w:pPr>
                  <w:r w:rsidRPr="00830CF8">
                    <w:rPr>
                      <w:b/>
                      <w:bCs/>
                      <w:color w:val="FF6600"/>
                      <w:sz w:val="40"/>
                      <w:szCs w:val="4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43.75pt;height:19.5pt" adj="6924" fillcolor="#60c" strokecolor="#c9f">
                        <v:fill color2="#c0c" focus="100%" type="gradient"/>
                        <v:shadow on="t" color="#99f" opacity="52429f" offset="3pt,3pt"/>
                        <v:textpath style="font-family:&quot;Impact&quot;;v-text-kern:t" trim="t" fitpath="t" string="FON.T.ES – TOGO"/>
                      </v:shape>
                    </w:pict>
                  </w:r>
                </w:p>
                <w:p w:rsidR="00814112" w:rsidRPr="00EB03A5" w:rsidRDefault="00814112" w:rsidP="00814112">
                  <w:pPr>
                    <w:rPr>
                      <w:rFonts w:ascii="Tahoma" w:hAnsi="Tahoma" w:cs="Tahoma"/>
                      <w:b/>
                      <w:bCs/>
                      <w:i/>
                      <w:color w:val="0000FF"/>
                    </w:rPr>
                  </w:pPr>
                  <w:r w:rsidRPr="00EB03A5">
                    <w:rPr>
                      <w:rFonts w:ascii="Tahoma" w:hAnsi="Tahoma" w:cs="Tahoma"/>
                      <w:b/>
                      <w:bCs/>
                      <w:i/>
                      <w:color w:val="0000FF"/>
                      <w:sz w:val="32"/>
                    </w:rPr>
                    <w:t>Fondation Terre d’Espérance – Togo</w:t>
                  </w:r>
                </w:p>
                <w:p w:rsidR="00814112" w:rsidRDefault="00814112" w:rsidP="00814112">
                  <w:pPr>
                    <w:rPr>
                      <w:bCs/>
                      <w:color w:val="000000" w:themeColor="text1"/>
                    </w:rPr>
                  </w:pPr>
                </w:p>
                <w:p w:rsidR="00814112" w:rsidRPr="00E54704" w:rsidRDefault="00814112" w:rsidP="00814112">
                  <w:pPr>
                    <w:rPr>
                      <w:b/>
                      <w:bCs/>
                      <w:i/>
                      <w:color w:val="000000" w:themeColor="text1"/>
                    </w:rPr>
                  </w:pPr>
                  <w:r w:rsidRPr="00E54704">
                    <w:rPr>
                      <w:b/>
                      <w:bCs/>
                      <w:i/>
                      <w:color w:val="000000" w:themeColor="text1"/>
                    </w:rPr>
                    <w:t xml:space="preserve">Pour l’Intégration et la  Réhabilitation des Personnes vivant avec un Handicap, des Déshérités et  l’Agropastorale au Togo </w:t>
                  </w:r>
                </w:p>
                <w:p w:rsidR="00814112" w:rsidRDefault="00814112" w:rsidP="00814112">
                  <w:pPr>
                    <w:rPr>
                      <w:b/>
                      <w:bCs/>
                      <w:color w:val="000000"/>
                      <w:sz w:val="28"/>
                    </w:rPr>
                  </w:pPr>
                </w:p>
                <w:p w:rsidR="00814112" w:rsidRPr="0032010C" w:rsidRDefault="00830CF8" w:rsidP="00814112">
                  <w:pPr>
                    <w:rPr>
                      <w:b/>
                      <w:bCs/>
                      <w:color w:val="000000"/>
                      <w:sz w:val="28"/>
                    </w:rPr>
                  </w:pPr>
                  <w:r w:rsidRPr="00830CF8">
                    <w:rPr>
                      <w:b/>
                      <w:bCs/>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0pt;height:30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Siège Social : 18 BP : 45 Avédzi–Lomé18"/>
                      </v:shape>
                    </w:pict>
                  </w:r>
                </w:p>
                <w:p w:rsidR="00814112" w:rsidRPr="0032010C" w:rsidRDefault="00814112" w:rsidP="00814112">
                  <w:pPr>
                    <w:rPr>
                      <w:b/>
                      <w:bCs/>
                      <w:color w:val="000000"/>
                      <w:sz w:val="28"/>
                    </w:rPr>
                  </w:pPr>
                </w:p>
                <w:p w:rsidR="00814112" w:rsidRPr="00EF6131" w:rsidRDefault="00814112" w:rsidP="00814112">
                  <w:pPr>
                    <w:rPr>
                      <w:b/>
                      <w:bCs/>
                      <w:color w:val="0000FF"/>
                    </w:rPr>
                  </w:pPr>
                  <w:r>
                    <w:rPr>
                      <w:b/>
                      <w:bCs/>
                      <w:color w:val="0000FF"/>
                    </w:rPr>
                    <w:t xml:space="preserve"> </w:t>
                  </w:r>
                </w:p>
                <w:p w:rsidR="00814112" w:rsidRPr="00EF6131" w:rsidRDefault="00814112" w:rsidP="00814112"/>
                <w:p w:rsidR="00814112" w:rsidRDefault="00814112" w:rsidP="00814112"/>
                <w:p w:rsidR="00814112" w:rsidRPr="00E85AE6" w:rsidRDefault="00814112" w:rsidP="00814112"/>
                <w:p w:rsidR="00814112" w:rsidRPr="00E85AE6" w:rsidRDefault="00814112" w:rsidP="00814112"/>
                <w:p w:rsidR="00814112" w:rsidRPr="00E85AE6" w:rsidRDefault="00814112" w:rsidP="00814112"/>
                <w:p w:rsidR="00814112" w:rsidRPr="00E85AE6" w:rsidRDefault="00814112" w:rsidP="00814112"/>
                <w:p w:rsidR="00814112" w:rsidRPr="00E85AE6" w:rsidRDefault="00814112" w:rsidP="00814112"/>
              </w:txbxContent>
            </v:textbox>
            <w10:wrap side="left"/>
          </v:shape>
        </w:pict>
      </w:r>
    </w:p>
    <w:p w:rsidR="00814112" w:rsidRDefault="00814112" w:rsidP="00814112"/>
    <w:p w:rsidR="00814112" w:rsidRDefault="00830CF8" w:rsidP="00814112">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margin-left:64.7pt;margin-top:13.4pt;width:66.35pt;height:73.7pt;z-index:-251652096" wrapcoords="10800 -13886 10800 -13445 11536 -10359 10555 -6833 6136 -6171 245 -4188 245 -3306 -1964 -2645 -1964 -2204 -245 220 -4173 661 -6136 1763 -5891 3747 -7364 5951 -7855 7053 -8100 9037 -6627 10580 -4909 11020 11045 13445 12027 13445 14236 13445 29209 11241 29209 9478 27982 3086 25773 1102 23564 -220 22827 -2204 21845 -3747 13745 -6833 16691 -8596 16691 -11902 15218 -13886 13500 -13886 10800 -13886" o:allowoverlap="f" adj=",5400"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0pt" fitshape="t" trim="t" string=" T&#10;FON.O.T.ES&#10; G&#10; O&#10;"/>
            <o:lock v:ext="edit" aspectratio="t"/>
            <w10:wrap type="tight"/>
          </v:shape>
        </w:pict>
      </w:r>
    </w:p>
    <w:p w:rsidR="00814112" w:rsidRPr="005435E4" w:rsidRDefault="00814112" w:rsidP="00814112"/>
    <w:p w:rsidR="00814112" w:rsidRDefault="00814112" w:rsidP="00814112"/>
    <w:p w:rsidR="00814112" w:rsidRDefault="00814112" w:rsidP="00814112"/>
    <w:p w:rsidR="00814112" w:rsidRDefault="00814112" w:rsidP="00814112"/>
    <w:p w:rsidR="00814112" w:rsidRDefault="00814112" w:rsidP="00814112"/>
    <w:p w:rsidR="00814112" w:rsidRDefault="00814112" w:rsidP="00814112"/>
    <w:p w:rsidR="00814112" w:rsidRDefault="00814112" w:rsidP="00814112">
      <w:pPr>
        <w:jc w:val="center"/>
        <w:rPr>
          <w:b/>
          <w:color w:val="800080"/>
          <w:sz w:val="40"/>
          <w:szCs w:val="40"/>
          <w:u w:val="single"/>
        </w:rPr>
      </w:pPr>
    </w:p>
    <w:p w:rsidR="00213083" w:rsidRDefault="00830CF8" w:rsidP="00213083">
      <w:r>
        <w:rPr>
          <w:noProof/>
        </w:rPr>
        <w:pict>
          <v:shapetype id="_x0000_t32" coordsize="21600,21600" o:spt="32" o:oned="t" path="m,l21600,21600e" filled="f">
            <v:path arrowok="t" fillok="f" o:connecttype="none"/>
            <o:lock v:ext="edit" shapetype="t"/>
          </v:shapetype>
          <v:shape id="_x0000_s1032" type="#_x0000_t32" style="position:absolute;margin-left:6.2pt;margin-top:2.95pt;width:495pt;height:0;z-index:251662336" o:connectortype="straight" strokecolor="#8db3e2" strokeweight="3pt">
            <v:shadow type="perspective" color="#243f60" opacity=".5" offset="1pt" offset2="-1pt"/>
            <w10:wrap type="square"/>
          </v:shape>
        </w:pict>
      </w:r>
    </w:p>
    <w:p w:rsidR="00213083" w:rsidRDefault="00213083" w:rsidP="00213083"/>
    <w:p w:rsidR="00213083" w:rsidRPr="00BA44EA" w:rsidRDefault="00213083" w:rsidP="00213083">
      <w:pPr>
        <w:jc w:val="center"/>
        <w:rPr>
          <w:b/>
          <w:sz w:val="16"/>
          <w:szCs w:val="16"/>
          <w:u w:val="single"/>
        </w:rPr>
      </w:pPr>
    </w:p>
    <w:p w:rsidR="002F1C7D" w:rsidRDefault="002F1C7D" w:rsidP="00213083">
      <w:pPr>
        <w:jc w:val="center"/>
        <w:rPr>
          <w:b/>
        </w:rPr>
      </w:pPr>
    </w:p>
    <w:p w:rsidR="00427F20" w:rsidRDefault="00427F20" w:rsidP="00213083">
      <w:pPr>
        <w:jc w:val="center"/>
        <w:rPr>
          <w:b/>
        </w:rPr>
      </w:pPr>
    </w:p>
    <w:p w:rsidR="00427F20" w:rsidRDefault="00427F20" w:rsidP="00213083">
      <w:pPr>
        <w:jc w:val="center"/>
        <w:rPr>
          <w:b/>
        </w:rPr>
      </w:pPr>
    </w:p>
    <w:p w:rsidR="00427F20" w:rsidRDefault="00427F20" w:rsidP="00213083">
      <w:pPr>
        <w:jc w:val="center"/>
        <w:rPr>
          <w:b/>
        </w:rPr>
      </w:pPr>
    </w:p>
    <w:p w:rsidR="00427F20" w:rsidRDefault="00427F20" w:rsidP="00213083">
      <w:pPr>
        <w:jc w:val="center"/>
        <w:rPr>
          <w:b/>
        </w:rPr>
      </w:pPr>
    </w:p>
    <w:p w:rsidR="00427F20" w:rsidRDefault="00427F20" w:rsidP="00213083">
      <w:pPr>
        <w:jc w:val="center"/>
        <w:rPr>
          <w:b/>
        </w:rPr>
      </w:pPr>
    </w:p>
    <w:p w:rsidR="00427F20" w:rsidRDefault="00427F20" w:rsidP="00213083">
      <w:pPr>
        <w:jc w:val="center"/>
        <w:rPr>
          <w:b/>
        </w:rPr>
      </w:pPr>
    </w:p>
    <w:p w:rsidR="00427F20" w:rsidRDefault="00427F20" w:rsidP="00213083">
      <w:pPr>
        <w:jc w:val="center"/>
        <w:rPr>
          <w:b/>
        </w:rPr>
      </w:pPr>
    </w:p>
    <w:p w:rsidR="00427F20" w:rsidRDefault="00427F20" w:rsidP="00213083">
      <w:pPr>
        <w:jc w:val="center"/>
        <w:rPr>
          <w:b/>
        </w:rPr>
      </w:pPr>
    </w:p>
    <w:p w:rsidR="00427F20" w:rsidRDefault="00427F20" w:rsidP="00213083">
      <w:pPr>
        <w:jc w:val="center"/>
        <w:rPr>
          <w:b/>
        </w:rPr>
      </w:pPr>
    </w:p>
    <w:p w:rsidR="00427F20" w:rsidRDefault="00427F20" w:rsidP="00213083">
      <w:pPr>
        <w:jc w:val="center"/>
        <w:rPr>
          <w:b/>
        </w:rPr>
      </w:pPr>
    </w:p>
    <w:p w:rsidR="00427F20" w:rsidRDefault="00427F20" w:rsidP="00213083">
      <w:pPr>
        <w:jc w:val="center"/>
        <w:rPr>
          <w:b/>
        </w:rPr>
      </w:pPr>
    </w:p>
    <w:tbl>
      <w:tblPr>
        <w:tblStyle w:val="Grilledutableau"/>
        <w:tblW w:w="8505" w:type="dxa"/>
        <w:tblInd w:w="1384" w:type="dxa"/>
        <w:tblLook w:val="04A0"/>
      </w:tblPr>
      <w:tblGrid>
        <w:gridCol w:w="8505"/>
      </w:tblGrid>
      <w:tr w:rsidR="00427F20" w:rsidTr="003A39E0">
        <w:trPr>
          <w:trHeight w:val="2180"/>
        </w:trPr>
        <w:tc>
          <w:tcPr>
            <w:tcW w:w="8505" w:type="dxa"/>
            <w:shd w:val="clear" w:color="auto" w:fill="95B3D7" w:themeFill="accent1" w:themeFillTint="99"/>
          </w:tcPr>
          <w:p w:rsidR="00427F20" w:rsidRDefault="003A39E0" w:rsidP="00213083">
            <w:pPr>
              <w:jc w:val="center"/>
              <w:rPr>
                <w:b/>
              </w:rPr>
            </w:pPr>
            <w:r>
              <w:rPr>
                <w:rFonts w:ascii="Century Gothic" w:hAnsi="Century Gothic"/>
                <w:b/>
                <w:bCs/>
                <w:color w:val="0F243E"/>
                <w:sz w:val="40"/>
                <w:szCs w:val="40"/>
              </w:rPr>
              <w:t>RAPPORT N°17 SUR LA GESTION DES FONDS REÇUS DE L’IABP – ITALIA ONLUS PAR L’ASSOCIATION FON.T.ES – TOGO/PINV POUR LE PROJET DE LA PREVENTION DE LA CECITE AU TOGO</w:t>
            </w:r>
          </w:p>
        </w:tc>
      </w:tr>
    </w:tbl>
    <w:p w:rsidR="00427F20" w:rsidRPr="00EA0BB4" w:rsidRDefault="00427F20" w:rsidP="00213083">
      <w:pPr>
        <w:jc w:val="center"/>
        <w:rPr>
          <w:b/>
        </w:rPr>
      </w:pPr>
    </w:p>
    <w:p w:rsidR="002F1C7D" w:rsidRDefault="002F1C7D"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AA0E3A" w:rsidRDefault="00AA0E3A" w:rsidP="00AA0E3A">
      <w:pPr>
        <w:rPr>
          <w:i/>
        </w:rPr>
      </w:pPr>
      <w:r w:rsidRPr="00AA0E3A">
        <w:rPr>
          <w:i/>
        </w:rPr>
        <w:t>P</w:t>
      </w:r>
      <w:r>
        <w:rPr>
          <w:i/>
        </w:rPr>
        <w:t>rojet de prévention de la cécité</w:t>
      </w:r>
    </w:p>
    <w:p w:rsidR="00427F20" w:rsidRPr="00AA0E3A" w:rsidRDefault="00AA0E3A" w:rsidP="00AA0E3A">
      <w:pPr>
        <w:rPr>
          <w:i/>
        </w:rPr>
      </w:pPr>
      <w:r w:rsidRPr="00AA0E3A">
        <w:rPr>
          <w:i/>
        </w:rPr>
        <w:t>Fond</w:t>
      </w:r>
      <w:r>
        <w:rPr>
          <w:i/>
        </w:rPr>
        <w:t>s reçus de l’IAPB – ITALIA ONLUS                                                                                  Février 2016</w:t>
      </w: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427F20" w:rsidRDefault="00427F20" w:rsidP="00213083">
      <w:pPr>
        <w:rPr>
          <w:b/>
        </w:rPr>
      </w:pPr>
    </w:p>
    <w:p w:rsidR="00213083" w:rsidRDefault="00213083" w:rsidP="00213083">
      <w:pPr>
        <w:rPr>
          <w:b/>
        </w:rPr>
      </w:pPr>
    </w:p>
    <w:p w:rsidR="00427F20" w:rsidRDefault="00427F20" w:rsidP="00427F20">
      <w:pPr>
        <w:jc w:val="center"/>
        <w:rPr>
          <w:rFonts w:ascii="Univers" w:hAnsi="Univers"/>
          <w:b/>
          <w:bCs/>
          <w:sz w:val="32"/>
          <w:szCs w:val="32"/>
          <w:u w:val="single"/>
          <w:lang w:val="en-GB"/>
        </w:rPr>
      </w:pPr>
      <w:r>
        <w:rPr>
          <w:rFonts w:ascii="Univers" w:hAnsi="Univers"/>
          <w:b/>
          <w:bCs/>
          <w:sz w:val="32"/>
          <w:szCs w:val="32"/>
          <w:u w:val="single"/>
          <w:lang w:val="en-GB"/>
        </w:rPr>
        <w:t xml:space="preserve">S O M </w:t>
      </w:r>
      <w:proofErr w:type="spellStart"/>
      <w:r>
        <w:rPr>
          <w:rFonts w:ascii="Univers" w:hAnsi="Univers"/>
          <w:b/>
          <w:bCs/>
          <w:sz w:val="32"/>
          <w:szCs w:val="32"/>
          <w:u w:val="single"/>
          <w:lang w:val="en-GB"/>
        </w:rPr>
        <w:t>M</w:t>
      </w:r>
      <w:proofErr w:type="spellEnd"/>
      <w:r>
        <w:rPr>
          <w:rFonts w:ascii="Univers" w:hAnsi="Univers"/>
          <w:b/>
          <w:bCs/>
          <w:sz w:val="32"/>
          <w:szCs w:val="32"/>
          <w:u w:val="single"/>
          <w:lang w:val="en-GB"/>
        </w:rPr>
        <w:t xml:space="preserve"> A I R E</w:t>
      </w:r>
    </w:p>
    <w:p w:rsidR="00427F20" w:rsidRDefault="00427F20" w:rsidP="00427F20">
      <w:pPr>
        <w:jc w:val="center"/>
        <w:rPr>
          <w:rFonts w:ascii="Univers" w:hAnsi="Univers"/>
          <w:sz w:val="32"/>
          <w:szCs w:val="32"/>
          <w:lang w:val="en-GB"/>
        </w:rPr>
      </w:pPr>
    </w:p>
    <w:p w:rsidR="00427F20" w:rsidRDefault="00427F20" w:rsidP="00427F20">
      <w:pPr>
        <w:jc w:val="center"/>
        <w:rPr>
          <w:rFonts w:ascii="Univers" w:hAnsi="Univers"/>
          <w:sz w:val="32"/>
          <w:szCs w:val="32"/>
          <w:lang w:val="en-GB"/>
        </w:rPr>
      </w:pPr>
    </w:p>
    <w:p w:rsidR="00427F20" w:rsidRDefault="00427F20" w:rsidP="00427F20">
      <w:pPr>
        <w:ind w:left="7090"/>
        <w:jc w:val="right"/>
        <w:rPr>
          <w:rFonts w:ascii="Univers" w:hAnsi="Univers"/>
          <w:b/>
          <w:sz w:val="22"/>
          <w:szCs w:val="22"/>
          <w:u w:val="single"/>
          <w:lang w:val="en-US"/>
        </w:rPr>
      </w:pPr>
      <w:r>
        <w:rPr>
          <w:rFonts w:ascii="Univers" w:hAnsi="Univers"/>
          <w:b/>
          <w:sz w:val="22"/>
          <w:szCs w:val="22"/>
          <w:lang w:val="en-US"/>
        </w:rPr>
        <w:t xml:space="preserve">     </w:t>
      </w:r>
      <w:r>
        <w:rPr>
          <w:rFonts w:ascii="Univers" w:hAnsi="Univers"/>
          <w:b/>
          <w:sz w:val="22"/>
          <w:szCs w:val="22"/>
          <w:u w:val="single"/>
          <w:lang w:val="en-US"/>
        </w:rPr>
        <w:t>PAGES</w:t>
      </w:r>
    </w:p>
    <w:p w:rsidR="00427F20" w:rsidRDefault="00427F20" w:rsidP="00427F20">
      <w:pPr>
        <w:ind w:left="7090"/>
        <w:jc w:val="both"/>
        <w:rPr>
          <w:rFonts w:ascii="Univers" w:hAnsi="Univers"/>
          <w:b/>
          <w:sz w:val="22"/>
          <w:szCs w:val="22"/>
          <w:u w:val="single"/>
          <w:lang w:val="en-US"/>
        </w:rPr>
      </w:pPr>
    </w:p>
    <w:p w:rsidR="00427F20" w:rsidRPr="00427F20" w:rsidRDefault="00427F20" w:rsidP="00427F20">
      <w:pPr>
        <w:pStyle w:val="En-ttedetabledesmatires"/>
        <w:rPr>
          <w:lang w:val="en-US"/>
        </w:rPr>
      </w:pPr>
    </w:p>
    <w:p w:rsidR="00427F20" w:rsidRDefault="00830CF8" w:rsidP="00427F20">
      <w:pPr>
        <w:pStyle w:val="TM1"/>
        <w:tabs>
          <w:tab w:val="right" w:leader="dot" w:pos="9554"/>
        </w:tabs>
        <w:rPr>
          <w:rFonts w:asciiTheme="minorHAnsi" w:eastAsiaTheme="minorEastAsia" w:hAnsiTheme="minorHAnsi" w:cstheme="minorBidi"/>
          <w:noProof/>
        </w:rPr>
      </w:pPr>
      <w:r>
        <w:fldChar w:fldCharType="begin"/>
      </w:r>
      <w:r w:rsidR="00427F20">
        <w:instrText xml:space="preserve"> TOC \o "1-3" \h \z \u </w:instrText>
      </w:r>
      <w:r>
        <w:fldChar w:fldCharType="separate"/>
      </w:r>
      <w:hyperlink w:anchor="_Toc234899586" w:history="1">
        <w:r w:rsidR="00427F20">
          <w:rPr>
            <w:rStyle w:val="Lienhypertexte"/>
            <w:noProof/>
          </w:rPr>
          <w:t>Introduction</w:t>
        </w:r>
        <w:r w:rsidR="00427F20">
          <w:rPr>
            <w:noProof/>
            <w:webHidden/>
          </w:rPr>
          <w:tab/>
        </w:r>
        <w:r>
          <w:rPr>
            <w:noProof/>
            <w:webHidden/>
          </w:rPr>
          <w:fldChar w:fldCharType="begin"/>
        </w:r>
        <w:r w:rsidR="00427F20">
          <w:rPr>
            <w:noProof/>
            <w:webHidden/>
          </w:rPr>
          <w:instrText xml:space="preserve"> PAGEREF _Toc234899586 \h </w:instrText>
        </w:r>
        <w:r>
          <w:rPr>
            <w:noProof/>
            <w:webHidden/>
          </w:rPr>
        </w:r>
        <w:r>
          <w:rPr>
            <w:noProof/>
            <w:webHidden/>
          </w:rPr>
          <w:fldChar w:fldCharType="separate"/>
        </w:r>
        <w:r w:rsidR="00470ED7">
          <w:rPr>
            <w:noProof/>
            <w:webHidden/>
          </w:rPr>
          <w:t>3</w:t>
        </w:r>
        <w:r>
          <w:rPr>
            <w:noProof/>
            <w:webHidden/>
          </w:rPr>
          <w:fldChar w:fldCharType="end"/>
        </w:r>
      </w:hyperlink>
    </w:p>
    <w:p w:rsidR="00427F20" w:rsidRDefault="00427F20" w:rsidP="00427F20">
      <w:pPr>
        <w:pStyle w:val="TM1"/>
        <w:tabs>
          <w:tab w:val="right" w:leader="dot" w:pos="9554"/>
        </w:tabs>
        <w:rPr>
          <w:noProof/>
        </w:rPr>
      </w:pPr>
    </w:p>
    <w:p w:rsidR="00427F20" w:rsidRDefault="00830CF8" w:rsidP="00427F20">
      <w:pPr>
        <w:pStyle w:val="TM1"/>
        <w:tabs>
          <w:tab w:val="right" w:leader="dot" w:pos="9554"/>
        </w:tabs>
        <w:rPr>
          <w:rFonts w:asciiTheme="minorHAnsi" w:eastAsiaTheme="minorEastAsia" w:hAnsiTheme="minorHAnsi" w:cstheme="minorBidi"/>
          <w:noProof/>
        </w:rPr>
      </w:pPr>
      <w:hyperlink w:anchor="_Toc234899587" w:history="1">
        <w:r w:rsidR="00427F20">
          <w:rPr>
            <w:rStyle w:val="Lienhypertexte"/>
            <w:noProof/>
          </w:rPr>
          <w:t>Remerciement</w:t>
        </w:r>
        <w:r w:rsidR="00427F20">
          <w:rPr>
            <w:noProof/>
            <w:webHidden/>
          </w:rPr>
          <w:tab/>
        </w:r>
        <w:r>
          <w:rPr>
            <w:noProof/>
            <w:webHidden/>
          </w:rPr>
          <w:fldChar w:fldCharType="begin"/>
        </w:r>
        <w:r w:rsidR="00427F20">
          <w:rPr>
            <w:noProof/>
            <w:webHidden/>
          </w:rPr>
          <w:instrText xml:space="preserve"> PAGEREF _Toc234899587 \h </w:instrText>
        </w:r>
        <w:r>
          <w:rPr>
            <w:noProof/>
            <w:webHidden/>
          </w:rPr>
        </w:r>
        <w:r>
          <w:rPr>
            <w:noProof/>
            <w:webHidden/>
          </w:rPr>
          <w:fldChar w:fldCharType="separate"/>
        </w:r>
        <w:r w:rsidR="00470ED7">
          <w:rPr>
            <w:noProof/>
            <w:webHidden/>
          </w:rPr>
          <w:t>3</w:t>
        </w:r>
        <w:r>
          <w:rPr>
            <w:noProof/>
            <w:webHidden/>
          </w:rPr>
          <w:fldChar w:fldCharType="end"/>
        </w:r>
      </w:hyperlink>
    </w:p>
    <w:p w:rsidR="00427F20" w:rsidRDefault="00427F20" w:rsidP="00427F20">
      <w:pPr>
        <w:pStyle w:val="TM1"/>
        <w:tabs>
          <w:tab w:val="right" w:leader="dot" w:pos="9554"/>
        </w:tabs>
        <w:rPr>
          <w:noProof/>
        </w:rPr>
      </w:pPr>
    </w:p>
    <w:p w:rsidR="00427F20" w:rsidRDefault="00830CF8" w:rsidP="00427F20">
      <w:pPr>
        <w:pStyle w:val="TM1"/>
        <w:tabs>
          <w:tab w:val="right" w:leader="dot" w:pos="9554"/>
        </w:tabs>
        <w:rPr>
          <w:noProof/>
        </w:rPr>
      </w:pPr>
      <w:hyperlink w:anchor="_Toc234899589" w:history="1">
        <w:r w:rsidR="00427F20">
          <w:rPr>
            <w:rStyle w:val="Lienhypertexte"/>
            <w:noProof/>
          </w:rPr>
          <w:t>Activités</w:t>
        </w:r>
        <w:r w:rsidR="00427F20">
          <w:rPr>
            <w:noProof/>
            <w:webHidden/>
          </w:rPr>
          <w:tab/>
          <w:t>3</w:t>
        </w:r>
      </w:hyperlink>
    </w:p>
    <w:p w:rsidR="00427F20" w:rsidRDefault="00427F20" w:rsidP="00427F20">
      <w:pPr>
        <w:rPr>
          <w:rFonts w:eastAsiaTheme="minorEastAsia"/>
          <w:noProof/>
        </w:rPr>
      </w:pPr>
    </w:p>
    <w:p w:rsidR="00427F20" w:rsidRDefault="00830CF8" w:rsidP="00427F20">
      <w:pPr>
        <w:pStyle w:val="TM1"/>
        <w:tabs>
          <w:tab w:val="right" w:leader="dot" w:pos="9554"/>
        </w:tabs>
        <w:rPr>
          <w:rFonts w:asciiTheme="minorHAnsi" w:eastAsiaTheme="minorEastAsia" w:hAnsiTheme="minorHAnsi" w:cstheme="minorBidi"/>
          <w:noProof/>
        </w:rPr>
      </w:pPr>
      <w:hyperlink w:anchor="_Toc234899595" w:history="1">
        <w:r w:rsidR="00427F20">
          <w:rPr>
            <w:rStyle w:val="Lienhypertexte"/>
            <w:noProof/>
          </w:rPr>
          <w:t>Situation financière</w:t>
        </w:r>
        <w:r w:rsidR="00427F20">
          <w:rPr>
            <w:noProof/>
            <w:webHidden/>
          </w:rPr>
          <w:tab/>
        </w:r>
        <w:r w:rsidR="00FE631C">
          <w:rPr>
            <w:noProof/>
            <w:webHidden/>
          </w:rPr>
          <w:t>4</w:t>
        </w:r>
      </w:hyperlink>
    </w:p>
    <w:p w:rsidR="00427F20" w:rsidRDefault="00830CF8" w:rsidP="00427F20">
      <w:pPr>
        <w:pStyle w:val="TM1"/>
        <w:tabs>
          <w:tab w:val="right" w:leader="dot" w:pos="9554"/>
        </w:tabs>
        <w:rPr>
          <w:rStyle w:val="Lienhypertexte"/>
          <w:noProof/>
        </w:rPr>
      </w:pPr>
      <w:r>
        <w:rPr>
          <w:noProof/>
        </w:rPr>
        <w:fldChar w:fldCharType="begin"/>
      </w:r>
      <w:r w:rsidR="00427F20">
        <w:rPr>
          <w:noProof/>
        </w:rPr>
        <w:instrText>HYPERLINK \l "_Toc234899597"</w:instrText>
      </w:r>
      <w:r>
        <w:rPr>
          <w:noProof/>
        </w:rPr>
        <w:fldChar w:fldCharType="separate"/>
      </w:r>
    </w:p>
    <w:p w:rsidR="00427F20" w:rsidRDefault="00FE631C" w:rsidP="00427F20">
      <w:pPr>
        <w:pStyle w:val="TM1"/>
        <w:tabs>
          <w:tab w:val="right" w:leader="dot" w:pos="9554"/>
        </w:tabs>
        <w:rPr>
          <w:rFonts w:asciiTheme="minorHAnsi" w:eastAsiaTheme="minorEastAsia" w:hAnsiTheme="minorHAnsi" w:cstheme="minorBidi"/>
          <w:noProof/>
          <w:sz w:val="22"/>
          <w:szCs w:val="22"/>
        </w:rPr>
      </w:pPr>
      <w:r>
        <w:rPr>
          <w:rStyle w:val="Lienhypertexte"/>
          <w:noProof/>
        </w:rPr>
        <w:t>Situation financière</w:t>
      </w:r>
      <w:r w:rsidR="00427F20">
        <w:rPr>
          <w:noProof/>
          <w:webHidden/>
        </w:rPr>
        <w:tab/>
        <w:t>4</w:t>
      </w:r>
      <w:r w:rsidR="00830CF8">
        <w:rPr>
          <w:noProof/>
        </w:rPr>
        <w:fldChar w:fldCharType="end"/>
      </w:r>
    </w:p>
    <w:p w:rsidR="00FE631C" w:rsidRDefault="00830CF8" w:rsidP="00427F20">
      <w:pPr>
        <w:spacing w:line="360" w:lineRule="auto"/>
      </w:pPr>
      <w:r>
        <w:fldChar w:fldCharType="end"/>
      </w:r>
    </w:p>
    <w:p w:rsidR="00FE631C" w:rsidRDefault="00FE631C" w:rsidP="00427F20">
      <w:pPr>
        <w:spacing w:line="360" w:lineRule="auto"/>
      </w:pPr>
      <w:r>
        <w:t xml:space="preserve">Conclusion </w:t>
      </w:r>
      <w:proofErr w:type="gramStart"/>
      <w:r>
        <w:t>……….…………………………………………………………………………………..4</w:t>
      </w:r>
      <w:proofErr w:type="gramEnd"/>
    </w:p>
    <w:p w:rsidR="00427F20" w:rsidRDefault="00830CF8" w:rsidP="00427F20">
      <w:pPr>
        <w:spacing w:line="360" w:lineRule="auto"/>
        <w:rPr>
          <w:rStyle w:val="Lienhypertexte"/>
          <w:noProof/>
        </w:rPr>
      </w:pPr>
      <w:r>
        <w:fldChar w:fldCharType="begin"/>
      </w:r>
      <w:r w:rsidR="00427F20">
        <w:instrText>HYPERLINK \l "_Toc234899597"</w:instrText>
      </w:r>
      <w:r>
        <w:fldChar w:fldCharType="separate"/>
      </w:r>
    </w:p>
    <w:p w:rsidR="00427F20" w:rsidRDefault="00427F20" w:rsidP="00427F20">
      <w:pPr>
        <w:pStyle w:val="TM1"/>
        <w:tabs>
          <w:tab w:val="right" w:leader="dot" w:pos="9554"/>
        </w:tabs>
        <w:rPr>
          <w:rFonts w:asciiTheme="minorHAnsi" w:eastAsiaTheme="minorEastAsia" w:hAnsiTheme="minorHAnsi" w:cstheme="minorBidi"/>
          <w:noProof/>
          <w:sz w:val="22"/>
          <w:szCs w:val="22"/>
        </w:rPr>
      </w:pPr>
      <w:r>
        <w:rPr>
          <w:rStyle w:val="Lienhypertexte"/>
          <w:noProof/>
        </w:rPr>
        <w:t>Annexes</w:t>
      </w:r>
      <w:r>
        <w:rPr>
          <w:noProof/>
          <w:webHidden/>
        </w:rPr>
        <w:tab/>
        <w:t>5</w:t>
      </w:r>
      <w:r w:rsidR="00830CF8">
        <w:fldChar w:fldCharType="end"/>
      </w:r>
    </w:p>
    <w:p w:rsidR="00427F20" w:rsidRDefault="00427F20" w:rsidP="00427F20">
      <w:pPr>
        <w:spacing w:line="360" w:lineRule="auto"/>
      </w:pPr>
    </w:p>
    <w:p w:rsidR="00427F20" w:rsidRDefault="00427F20" w:rsidP="00427F20">
      <w:pPr>
        <w:spacing w:line="360" w:lineRule="auto"/>
      </w:pPr>
    </w:p>
    <w:p w:rsidR="00427F20" w:rsidRDefault="00427F20" w:rsidP="00427F20">
      <w:pPr>
        <w:rPr>
          <w:rFonts w:asciiTheme="majorHAnsi" w:eastAsiaTheme="majorEastAsia" w:hAnsiTheme="majorHAnsi" w:cstheme="majorBidi"/>
          <w:b/>
          <w:bCs/>
          <w:color w:val="365F91"/>
          <w:spacing w:val="5"/>
          <w:kern w:val="28"/>
          <w:sz w:val="28"/>
          <w:szCs w:val="28"/>
        </w:rPr>
      </w:pPr>
      <w:r>
        <w:br w:type="page"/>
      </w:r>
    </w:p>
    <w:p w:rsidR="00427F20" w:rsidRDefault="00427F20" w:rsidP="00427F20">
      <w:pPr>
        <w:pStyle w:val="Paragraphedeliste"/>
        <w:numPr>
          <w:ilvl w:val="0"/>
          <w:numId w:val="3"/>
        </w:numPr>
        <w:spacing w:line="312" w:lineRule="auto"/>
        <w:rPr>
          <w:b/>
          <w:i/>
          <w:sz w:val="28"/>
          <w:szCs w:val="28"/>
        </w:rPr>
      </w:pPr>
      <w:bookmarkStart w:id="0" w:name="_Toc234899586"/>
      <w:r>
        <w:rPr>
          <w:b/>
          <w:i/>
          <w:sz w:val="28"/>
          <w:szCs w:val="28"/>
        </w:rPr>
        <w:lastRenderedPageBreak/>
        <w:t>Introduction</w:t>
      </w:r>
      <w:bookmarkEnd w:id="0"/>
    </w:p>
    <w:p w:rsidR="00427F20" w:rsidRDefault="00427F20" w:rsidP="00427F20">
      <w:pPr>
        <w:spacing w:line="312" w:lineRule="auto"/>
        <w:jc w:val="both"/>
        <w:rPr>
          <w:sz w:val="16"/>
          <w:szCs w:val="16"/>
        </w:rPr>
      </w:pPr>
    </w:p>
    <w:p w:rsidR="00427F20" w:rsidRDefault="00427F20" w:rsidP="00427F20">
      <w:pPr>
        <w:spacing w:line="312" w:lineRule="auto"/>
        <w:jc w:val="both"/>
      </w:pPr>
      <w:r>
        <w:t xml:space="preserve">Le présent rapport couvre la période du </w:t>
      </w:r>
      <w:r w:rsidR="003A39E0">
        <w:rPr>
          <w:u w:val="single"/>
        </w:rPr>
        <w:t>24 novembre 2015</w:t>
      </w:r>
      <w:r>
        <w:rPr>
          <w:u w:val="single"/>
        </w:rPr>
        <w:t xml:space="preserve"> </w:t>
      </w:r>
      <w:r w:rsidR="003A39E0">
        <w:rPr>
          <w:u w:val="single"/>
        </w:rPr>
        <w:t>au 11 février</w:t>
      </w:r>
      <w:r>
        <w:rPr>
          <w:u w:val="single"/>
        </w:rPr>
        <w:t xml:space="preserve"> 201</w:t>
      </w:r>
      <w:r w:rsidR="003A39E0">
        <w:rPr>
          <w:u w:val="single"/>
        </w:rPr>
        <w:t>6</w:t>
      </w:r>
      <w:r>
        <w:t xml:space="preserve"> et porte sur les activités menées avec le</w:t>
      </w:r>
      <w:r w:rsidR="003A39E0">
        <w:t>s fonds mis à disposition de l’Association</w:t>
      </w:r>
      <w:r w:rsidR="005239C6">
        <w:t xml:space="preserve"> </w:t>
      </w:r>
      <w:r w:rsidR="003A39E0">
        <w:t xml:space="preserve"> FON.T.ES </w:t>
      </w:r>
      <w:r w:rsidR="005239C6">
        <w:t>–</w:t>
      </w:r>
      <w:r w:rsidR="003A39E0">
        <w:t xml:space="preserve"> TOGO</w:t>
      </w:r>
      <w:r w:rsidR="005239C6">
        <w:t>/PINV – LOME par l’IAPB – ITALIA ONLUS</w:t>
      </w:r>
      <w:r>
        <w:t xml:space="preserve">.  Il </w:t>
      </w:r>
      <w:r w:rsidR="005239C6">
        <w:t>fait suite au rapport n°15 du 27 décembre 2015</w:t>
      </w:r>
      <w:r>
        <w:t>.</w:t>
      </w:r>
    </w:p>
    <w:p w:rsidR="00427F20" w:rsidRDefault="00427F20" w:rsidP="00427F20">
      <w:pPr>
        <w:spacing w:line="312" w:lineRule="auto"/>
        <w:jc w:val="both"/>
        <w:rPr>
          <w:sz w:val="16"/>
          <w:szCs w:val="16"/>
        </w:rPr>
      </w:pPr>
    </w:p>
    <w:p w:rsidR="00427F20" w:rsidRPr="00EF186C" w:rsidRDefault="00427F20" w:rsidP="00EF186C">
      <w:pPr>
        <w:pStyle w:val="Paragraphedeliste"/>
        <w:numPr>
          <w:ilvl w:val="0"/>
          <w:numId w:val="3"/>
        </w:numPr>
        <w:spacing w:line="312" w:lineRule="auto"/>
        <w:rPr>
          <w:b/>
          <w:i/>
          <w:sz w:val="28"/>
          <w:szCs w:val="28"/>
          <w:lang w:val="fr-FR"/>
        </w:rPr>
      </w:pPr>
      <w:bookmarkStart w:id="1" w:name="_Toc234899587"/>
      <w:r>
        <w:rPr>
          <w:b/>
          <w:i/>
          <w:sz w:val="28"/>
          <w:szCs w:val="28"/>
          <w:lang w:val="fr-FR"/>
        </w:rPr>
        <w:t>Remerciement</w:t>
      </w:r>
      <w:bookmarkEnd w:id="1"/>
    </w:p>
    <w:p w:rsidR="002E76C5" w:rsidRDefault="005239C6" w:rsidP="00427F20">
      <w:pPr>
        <w:spacing w:line="312" w:lineRule="auto"/>
        <w:jc w:val="both"/>
      </w:pPr>
      <w:r>
        <w:t>Nous tenons à remercier vivement l’IAPB – ITALIA ONLUS</w:t>
      </w:r>
      <w:r w:rsidR="00427F20">
        <w:t xml:space="preserve">, son équipe de travail et tous les partenaires qui œuvrent à travers lui pour soutenir le Projet </w:t>
      </w:r>
      <w:r>
        <w:t>d’Intégration des Non – Voyants (PINV)</w:t>
      </w:r>
      <w:r w:rsidR="00427F20">
        <w:t xml:space="preserve"> à venir en aide aux patients démunis et des personnes vivant avec</w:t>
      </w:r>
      <w:r>
        <w:t xml:space="preserve"> le</w:t>
      </w:r>
      <w:r w:rsidR="00427F20">
        <w:t xml:space="preserve"> handicap visuel. </w:t>
      </w:r>
    </w:p>
    <w:p w:rsidR="002E76C5" w:rsidRDefault="002E76C5" w:rsidP="00427F20">
      <w:pPr>
        <w:spacing w:line="312" w:lineRule="auto"/>
        <w:jc w:val="both"/>
      </w:pPr>
      <w:r>
        <w:t>La lutte contre la cécité concerne chacun d’entre nous. Agissons ensemble et contribuons efficacement à la réinsertion sociale de ces personnes démunies. On ne choisit pas d’être pauvre ni malade, et toute personne quelle que soit son origine a le droit d’accéder à des soins de qualité. Grâce à votre soutien nous pouvons agir  régulièrement en prenant médicalement en charge des personnes souffrant de cécité due au cataracte par de nouvelles techniques de chirurgie et ceci dans des conditions optimales d’intervention.</w:t>
      </w:r>
    </w:p>
    <w:p w:rsidR="00427F20" w:rsidRDefault="00427F20" w:rsidP="00427F20">
      <w:pPr>
        <w:spacing w:line="312" w:lineRule="auto"/>
        <w:jc w:val="both"/>
      </w:pPr>
      <w:r>
        <w:t>Que Dieu, Créateu</w:t>
      </w:r>
      <w:r w:rsidR="005239C6">
        <w:t xml:space="preserve">r de toutes choses </w:t>
      </w:r>
      <w:r w:rsidR="00470ED7">
        <w:t>daigne-</w:t>
      </w:r>
      <w:r w:rsidR="00FC1B89">
        <w:t>vous</w:t>
      </w:r>
      <w:r>
        <w:t xml:space="preserve"> ac</w:t>
      </w:r>
      <w:r w:rsidR="00FC1B89">
        <w:t>corder sa bénédiction dans vos</w:t>
      </w:r>
      <w:r>
        <w:t xml:space="preserve"> différentes entreprises.</w:t>
      </w:r>
    </w:p>
    <w:p w:rsidR="00427F20" w:rsidRDefault="00427F20" w:rsidP="00427F20">
      <w:pPr>
        <w:spacing w:line="312" w:lineRule="auto"/>
        <w:jc w:val="both"/>
        <w:rPr>
          <w:sz w:val="16"/>
          <w:szCs w:val="16"/>
        </w:rPr>
      </w:pPr>
    </w:p>
    <w:p w:rsidR="00427F20" w:rsidRDefault="00427F20" w:rsidP="00427F20">
      <w:pPr>
        <w:pStyle w:val="Paragraphedeliste"/>
        <w:numPr>
          <w:ilvl w:val="0"/>
          <w:numId w:val="3"/>
        </w:numPr>
        <w:spacing w:line="312" w:lineRule="auto"/>
        <w:rPr>
          <w:b/>
          <w:i/>
          <w:sz w:val="28"/>
          <w:szCs w:val="28"/>
          <w:lang w:val="fr-FR"/>
        </w:rPr>
      </w:pPr>
      <w:bookmarkStart w:id="2" w:name="_Toc234899589"/>
      <w:r>
        <w:rPr>
          <w:b/>
          <w:i/>
          <w:sz w:val="28"/>
          <w:szCs w:val="28"/>
          <w:lang w:val="fr-FR"/>
        </w:rPr>
        <w:t>Activités</w:t>
      </w:r>
      <w:bookmarkEnd w:id="2"/>
    </w:p>
    <w:p w:rsidR="00386DE4" w:rsidRPr="00386DE4" w:rsidRDefault="00386DE4" w:rsidP="00386DE4">
      <w:pPr>
        <w:pStyle w:val="Paragraphedeliste"/>
        <w:numPr>
          <w:ilvl w:val="0"/>
          <w:numId w:val="4"/>
        </w:numPr>
        <w:spacing w:line="312" w:lineRule="auto"/>
        <w:jc w:val="both"/>
        <w:rPr>
          <w:b/>
          <w:iCs/>
          <w:szCs w:val="16"/>
        </w:rPr>
      </w:pPr>
      <w:r w:rsidRPr="00386DE4">
        <w:rPr>
          <w:b/>
          <w:iCs/>
          <w:szCs w:val="16"/>
        </w:rPr>
        <w:t>LA PRISE EN CHARGE MEDICALE</w:t>
      </w:r>
    </w:p>
    <w:p w:rsidR="00427F20" w:rsidRDefault="00427F20" w:rsidP="00427F20">
      <w:pPr>
        <w:spacing w:line="312" w:lineRule="auto"/>
        <w:jc w:val="both"/>
        <w:rPr>
          <w:iCs/>
        </w:rPr>
      </w:pPr>
      <w:r>
        <w:rPr>
          <w:iCs/>
        </w:rPr>
        <w:t>La prise en charge des personnes démunies souffrant de maux d’yeux (élèves, étudiants, enfants, ménagères, aveugles, malvoyants) est la principale activité menée avec les fonds. Courant la périod</w:t>
      </w:r>
      <w:r w:rsidR="005239C6">
        <w:rPr>
          <w:iCs/>
        </w:rPr>
        <w:t>e du présent rapport (24 novembre 2015 au 11 février 2016), cent cinq (10</w:t>
      </w:r>
      <w:r>
        <w:rPr>
          <w:iCs/>
        </w:rPr>
        <w:t xml:space="preserve">5) personnes ont bénéficié de la prise en charge grâce aux fonds mis à disposition </w:t>
      </w:r>
      <w:r w:rsidR="005239C6">
        <w:t>par l’IAPB – ITALIA ONLUS dont 20% de</w:t>
      </w:r>
      <w:r w:rsidR="00FC1B89">
        <w:t xml:space="preserve"> ces personnes y</w:t>
      </w:r>
      <w:r w:rsidR="0088602C">
        <w:t xml:space="preserve"> ont bénéficié</w:t>
      </w:r>
      <w:r w:rsidR="005239C6">
        <w:t xml:space="preserve"> totalement de la prise en charge</w:t>
      </w:r>
      <w:r>
        <w:rPr>
          <w:iCs/>
        </w:rPr>
        <w:t xml:space="preserve"> dans les domaines suivants :</w:t>
      </w:r>
    </w:p>
    <w:p w:rsidR="00427F20" w:rsidRDefault="00427F20" w:rsidP="00427F20">
      <w:pPr>
        <w:pStyle w:val="Paragraphedeliste"/>
        <w:numPr>
          <w:ilvl w:val="0"/>
          <w:numId w:val="2"/>
        </w:numPr>
        <w:spacing w:line="312" w:lineRule="auto"/>
        <w:jc w:val="both"/>
        <w:rPr>
          <w:iCs/>
          <w:lang w:val="fr-FR"/>
        </w:rPr>
      </w:pPr>
      <w:r>
        <w:rPr>
          <w:iCs/>
          <w:lang w:val="fr-FR"/>
        </w:rPr>
        <w:t xml:space="preserve">Consultation </w:t>
      </w:r>
      <w:r w:rsidR="00EF186C">
        <w:rPr>
          <w:iCs/>
          <w:lang w:val="fr-FR"/>
        </w:rPr>
        <w:t>à 19 personnes à 100%</w:t>
      </w:r>
    </w:p>
    <w:p w:rsidR="00427F20" w:rsidRDefault="00427F20" w:rsidP="00427F20">
      <w:pPr>
        <w:pStyle w:val="Paragraphedeliste"/>
        <w:numPr>
          <w:ilvl w:val="0"/>
          <w:numId w:val="2"/>
        </w:numPr>
        <w:spacing w:line="312" w:lineRule="auto"/>
        <w:jc w:val="both"/>
        <w:rPr>
          <w:iCs/>
          <w:lang w:val="fr-FR"/>
        </w:rPr>
      </w:pPr>
      <w:r>
        <w:rPr>
          <w:iCs/>
          <w:lang w:val="fr-FR"/>
        </w:rPr>
        <w:t>Achat de médicaments</w:t>
      </w:r>
      <w:r w:rsidR="00EF186C">
        <w:rPr>
          <w:iCs/>
          <w:lang w:val="fr-FR"/>
        </w:rPr>
        <w:t xml:space="preserve"> à 19 personnes à 100%</w:t>
      </w:r>
    </w:p>
    <w:p w:rsidR="00427F20" w:rsidRDefault="00427F20" w:rsidP="00427F20">
      <w:pPr>
        <w:pStyle w:val="Paragraphedeliste"/>
        <w:numPr>
          <w:ilvl w:val="0"/>
          <w:numId w:val="2"/>
        </w:numPr>
        <w:spacing w:line="312" w:lineRule="auto"/>
        <w:jc w:val="both"/>
        <w:rPr>
          <w:iCs/>
          <w:lang w:val="fr-FR"/>
        </w:rPr>
      </w:pPr>
      <w:r>
        <w:rPr>
          <w:iCs/>
          <w:lang w:val="fr-FR"/>
        </w:rPr>
        <w:t>Analyses ophtalmologiques</w:t>
      </w:r>
      <w:r w:rsidR="00EF186C">
        <w:rPr>
          <w:iCs/>
          <w:lang w:val="fr-FR"/>
        </w:rPr>
        <w:t xml:space="preserve"> à 19 personnes à 100%</w:t>
      </w:r>
    </w:p>
    <w:p w:rsidR="00427F20" w:rsidRDefault="005239C6" w:rsidP="00427F20">
      <w:pPr>
        <w:pStyle w:val="Paragraphedeliste"/>
        <w:numPr>
          <w:ilvl w:val="0"/>
          <w:numId w:val="2"/>
        </w:numPr>
        <w:spacing w:line="312" w:lineRule="auto"/>
        <w:jc w:val="both"/>
        <w:rPr>
          <w:iCs/>
          <w:lang w:val="fr-FR"/>
        </w:rPr>
      </w:pPr>
      <w:r>
        <w:rPr>
          <w:iCs/>
          <w:lang w:val="fr-FR"/>
        </w:rPr>
        <w:t>Opération de cataract</w:t>
      </w:r>
      <w:r w:rsidR="00EF186C">
        <w:rPr>
          <w:iCs/>
          <w:lang w:val="fr-FR"/>
        </w:rPr>
        <w:t>e pour 3</w:t>
      </w:r>
      <w:r w:rsidR="00427F20">
        <w:rPr>
          <w:iCs/>
          <w:lang w:val="fr-FR"/>
        </w:rPr>
        <w:t xml:space="preserve"> malvoyant</w:t>
      </w:r>
      <w:r>
        <w:rPr>
          <w:iCs/>
          <w:lang w:val="fr-FR"/>
        </w:rPr>
        <w:t>s adultes</w:t>
      </w:r>
      <w:r w:rsidR="00FC1B89">
        <w:rPr>
          <w:iCs/>
          <w:lang w:val="fr-FR"/>
        </w:rPr>
        <w:t xml:space="preserve"> très â</w:t>
      </w:r>
      <w:r>
        <w:rPr>
          <w:iCs/>
          <w:lang w:val="fr-FR"/>
        </w:rPr>
        <w:t xml:space="preserve">gés et une fille de 12 </w:t>
      </w:r>
      <w:r w:rsidR="00427F20">
        <w:rPr>
          <w:iCs/>
          <w:lang w:val="fr-FR"/>
        </w:rPr>
        <w:t>ans environ,</w:t>
      </w:r>
    </w:p>
    <w:p w:rsidR="00427F20" w:rsidRPr="00EF186C" w:rsidRDefault="00EF186C" w:rsidP="00427F20">
      <w:pPr>
        <w:pStyle w:val="Paragraphedeliste"/>
        <w:numPr>
          <w:ilvl w:val="0"/>
          <w:numId w:val="2"/>
        </w:numPr>
        <w:spacing w:line="312" w:lineRule="auto"/>
        <w:jc w:val="both"/>
        <w:rPr>
          <w:iCs/>
          <w:lang w:val="fr-FR"/>
        </w:rPr>
      </w:pPr>
      <w:r>
        <w:rPr>
          <w:iCs/>
          <w:lang w:val="fr-FR"/>
        </w:rPr>
        <w:t>Achat de lunettes pour 5</w:t>
      </w:r>
      <w:r w:rsidR="00427F20">
        <w:rPr>
          <w:iCs/>
          <w:lang w:val="fr-FR"/>
        </w:rPr>
        <w:t xml:space="preserve"> personnes.</w:t>
      </w:r>
    </w:p>
    <w:p w:rsidR="00386DE4" w:rsidRDefault="00386DE4" w:rsidP="00386DE4">
      <w:pPr>
        <w:pStyle w:val="Paragraphedeliste"/>
        <w:numPr>
          <w:ilvl w:val="0"/>
          <w:numId w:val="4"/>
        </w:numPr>
        <w:spacing w:line="312" w:lineRule="auto"/>
        <w:jc w:val="both"/>
        <w:rPr>
          <w:b/>
          <w:iCs/>
          <w:szCs w:val="16"/>
          <w:lang w:val="fr-FR"/>
        </w:rPr>
      </w:pPr>
      <w:r w:rsidRPr="00386DE4">
        <w:rPr>
          <w:b/>
          <w:iCs/>
          <w:szCs w:val="16"/>
          <w:lang w:val="fr-FR"/>
        </w:rPr>
        <w:t>LA CONSTRUCTION DU MUR SERVANT DE LA CLÔTURE DU TERRAIN</w:t>
      </w:r>
    </w:p>
    <w:p w:rsidR="00386DE4" w:rsidRDefault="001A66E1" w:rsidP="001A66E1">
      <w:pPr>
        <w:spacing w:line="312" w:lineRule="auto"/>
        <w:jc w:val="both"/>
        <w:rPr>
          <w:iCs/>
          <w:szCs w:val="16"/>
        </w:rPr>
      </w:pPr>
      <w:r>
        <w:rPr>
          <w:iCs/>
          <w:szCs w:val="16"/>
        </w:rPr>
        <w:t xml:space="preserve">Les travaux de la clôture du terrain concerne entre autre une mise en place d’un mur pour délimiter notre espace devant </w:t>
      </w:r>
      <w:proofErr w:type="spellStart"/>
      <w:r>
        <w:rPr>
          <w:iCs/>
          <w:szCs w:val="16"/>
        </w:rPr>
        <w:t>plutard</w:t>
      </w:r>
      <w:proofErr w:type="spellEnd"/>
      <w:r>
        <w:rPr>
          <w:iCs/>
          <w:szCs w:val="16"/>
        </w:rPr>
        <w:t xml:space="preserve"> abriter le centre médico – social ophtalmologique. Le terrain ayant déjà été acquis, les dispositions primordiales est de mettre ce mur afin de s’assurer que nous pouvons accueillir certaines activités de préventions là dedans telle que la campagne de dépistage dans la zone qui a déjà été menée dans cette clôture pour la première fois à la grande joie des riverains et habitants de la zone d’</w:t>
      </w:r>
      <w:proofErr w:type="spellStart"/>
      <w:r>
        <w:rPr>
          <w:iCs/>
          <w:szCs w:val="16"/>
        </w:rPr>
        <w:t>Assikor</w:t>
      </w:r>
      <w:proofErr w:type="spellEnd"/>
      <w:r>
        <w:rPr>
          <w:iCs/>
          <w:szCs w:val="16"/>
        </w:rPr>
        <w:t xml:space="preserve">/Zanguéra. Les rubriques concernées par la dépense sont : </w:t>
      </w:r>
    </w:p>
    <w:p w:rsidR="001A66E1" w:rsidRDefault="001A66E1" w:rsidP="001A66E1">
      <w:pPr>
        <w:pStyle w:val="Paragraphedeliste"/>
        <w:numPr>
          <w:ilvl w:val="0"/>
          <w:numId w:val="2"/>
        </w:numPr>
        <w:spacing w:line="312" w:lineRule="auto"/>
        <w:jc w:val="both"/>
        <w:rPr>
          <w:iCs/>
          <w:szCs w:val="16"/>
        </w:rPr>
      </w:pPr>
      <w:proofErr w:type="spellStart"/>
      <w:r>
        <w:rPr>
          <w:iCs/>
          <w:szCs w:val="16"/>
        </w:rPr>
        <w:t>L’achat</w:t>
      </w:r>
      <w:proofErr w:type="spellEnd"/>
      <w:r>
        <w:rPr>
          <w:iCs/>
          <w:szCs w:val="16"/>
        </w:rPr>
        <w:t xml:space="preserve"> de </w:t>
      </w:r>
      <w:proofErr w:type="spellStart"/>
      <w:r>
        <w:rPr>
          <w:iCs/>
          <w:szCs w:val="16"/>
        </w:rPr>
        <w:t>ciment</w:t>
      </w:r>
      <w:proofErr w:type="spellEnd"/>
    </w:p>
    <w:p w:rsidR="001A66E1" w:rsidRDefault="001A66E1" w:rsidP="001A66E1">
      <w:pPr>
        <w:pStyle w:val="Paragraphedeliste"/>
        <w:numPr>
          <w:ilvl w:val="0"/>
          <w:numId w:val="2"/>
        </w:numPr>
        <w:spacing w:line="312" w:lineRule="auto"/>
        <w:jc w:val="both"/>
        <w:rPr>
          <w:iCs/>
          <w:szCs w:val="16"/>
        </w:rPr>
      </w:pPr>
      <w:proofErr w:type="spellStart"/>
      <w:r>
        <w:rPr>
          <w:iCs/>
          <w:szCs w:val="16"/>
        </w:rPr>
        <w:t>L’achat</w:t>
      </w:r>
      <w:proofErr w:type="spellEnd"/>
      <w:r>
        <w:rPr>
          <w:iCs/>
          <w:szCs w:val="16"/>
        </w:rPr>
        <w:t xml:space="preserve"> des </w:t>
      </w:r>
      <w:proofErr w:type="spellStart"/>
      <w:r>
        <w:rPr>
          <w:iCs/>
          <w:szCs w:val="16"/>
        </w:rPr>
        <w:t>fers</w:t>
      </w:r>
      <w:proofErr w:type="spellEnd"/>
    </w:p>
    <w:p w:rsidR="001A66E1" w:rsidRDefault="001A66E1" w:rsidP="001A66E1">
      <w:pPr>
        <w:pStyle w:val="Paragraphedeliste"/>
        <w:numPr>
          <w:ilvl w:val="0"/>
          <w:numId w:val="2"/>
        </w:numPr>
        <w:spacing w:line="312" w:lineRule="auto"/>
        <w:jc w:val="both"/>
        <w:rPr>
          <w:iCs/>
          <w:szCs w:val="16"/>
        </w:rPr>
      </w:pPr>
      <w:proofErr w:type="spellStart"/>
      <w:r>
        <w:rPr>
          <w:iCs/>
          <w:szCs w:val="16"/>
        </w:rPr>
        <w:t>L’achat</w:t>
      </w:r>
      <w:proofErr w:type="spellEnd"/>
      <w:r>
        <w:rPr>
          <w:iCs/>
          <w:szCs w:val="16"/>
        </w:rPr>
        <w:t xml:space="preserve"> du </w:t>
      </w:r>
      <w:proofErr w:type="spellStart"/>
      <w:r>
        <w:rPr>
          <w:iCs/>
          <w:szCs w:val="16"/>
        </w:rPr>
        <w:t>gravier</w:t>
      </w:r>
      <w:proofErr w:type="spellEnd"/>
    </w:p>
    <w:p w:rsidR="001A66E1" w:rsidRDefault="001A66E1" w:rsidP="001A66E1">
      <w:pPr>
        <w:pStyle w:val="Paragraphedeliste"/>
        <w:numPr>
          <w:ilvl w:val="0"/>
          <w:numId w:val="2"/>
        </w:numPr>
        <w:spacing w:line="312" w:lineRule="auto"/>
        <w:jc w:val="both"/>
        <w:rPr>
          <w:iCs/>
          <w:szCs w:val="16"/>
        </w:rPr>
      </w:pPr>
      <w:proofErr w:type="spellStart"/>
      <w:r>
        <w:rPr>
          <w:iCs/>
          <w:szCs w:val="16"/>
        </w:rPr>
        <w:t>L’achat</w:t>
      </w:r>
      <w:proofErr w:type="spellEnd"/>
      <w:r>
        <w:rPr>
          <w:iCs/>
          <w:szCs w:val="16"/>
        </w:rPr>
        <w:t xml:space="preserve"> du sable</w:t>
      </w:r>
    </w:p>
    <w:p w:rsidR="001A66E1" w:rsidRPr="001A66E1" w:rsidRDefault="001A66E1" w:rsidP="001A66E1">
      <w:pPr>
        <w:pStyle w:val="Paragraphedeliste"/>
        <w:numPr>
          <w:ilvl w:val="0"/>
          <w:numId w:val="2"/>
        </w:numPr>
        <w:spacing w:line="312" w:lineRule="auto"/>
        <w:jc w:val="both"/>
        <w:rPr>
          <w:iCs/>
          <w:szCs w:val="16"/>
          <w:lang w:val="fr-FR"/>
        </w:rPr>
      </w:pPr>
      <w:r w:rsidRPr="001A66E1">
        <w:rPr>
          <w:iCs/>
          <w:szCs w:val="16"/>
          <w:lang w:val="fr-FR"/>
        </w:rPr>
        <w:t>L’achat de l’eau pour les travaux</w:t>
      </w:r>
    </w:p>
    <w:p w:rsidR="001A66E1" w:rsidRPr="00EF186C" w:rsidRDefault="001A66E1" w:rsidP="00512ED5">
      <w:pPr>
        <w:pStyle w:val="Paragraphedeliste"/>
        <w:numPr>
          <w:ilvl w:val="0"/>
          <w:numId w:val="2"/>
        </w:numPr>
        <w:spacing w:line="312" w:lineRule="auto"/>
        <w:jc w:val="both"/>
        <w:rPr>
          <w:iCs/>
          <w:szCs w:val="16"/>
          <w:lang w:val="fr-FR"/>
        </w:rPr>
      </w:pPr>
      <w:r>
        <w:rPr>
          <w:iCs/>
          <w:szCs w:val="16"/>
          <w:lang w:val="fr-FR"/>
        </w:rPr>
        <w:t>Les diverses mains d’œuvre des ouvriers</w:t>
      </w:r>
      <w:r w:rsidR="004F61B1">
        <w:rPr>
          <w:iCs/>
          <w:szCs w:val="16"/>
          <w:lang w:val="fr-FR"/>
        </w:rPr>
        <w:t xml:space="preserve"> (sont incorporées dans les fournitures et pose)</w:t>
      </w:r>
    </w:p>
    <w:p w:rsidR="00386DE4" w:rsidRPr="00512ED5" w:rsidRDefault="00427F20" w:rsidP="00512ED5">
      <w:pPr>
        <w:pStyle w:val="Paragraphedeliste"/>
        <w:numPr>
          <w:ilvl w:val="0"/>
          <w:numId w:val="3"/>
        </w:numPr>
        <w:spacing w:line="312" w:lineRule="auto"/>
        <w:rPr>
          <w:b/>
          <w:i/>
          <w:sz w:val="28"/>
          <w:szCs w:val="28"/>
          <w:lang w:val="fr-FR"/>
        </w:rPr>
      </w:pPr>
      <w:bookmarkStart w:id="3" w:name="_Toc234899595"/>
      <w:r>
        <w:rPr>
          <w:b/>
          <w:i/>
          <w:sz w:val="28"/>
          <w:szCs w:val="28"/>
          <w:lang w:val="fr-FR"/>
        </w:rPr>
        <w:lastRenderedPageBreak/>
        <w:t>Situation financière</w:t>
      </w:r>
      <w:bookmarkEnd w:id="3"/>
    </w:p>
    <w:p w:rsidR="00427F20" w:rsidRPr="00386DE4" w:rsidRDefault="00386DE4" w:rsidP="00386DE4">
      <w:pPr>
        <w:pStyle w:val="Paragraphedeliste"/>
        <w:numPr>
          <w:ilvl w:val="0"/>
          <w:numId w:val="5"/>
        </w:numPr>
        <w:spacing w:line="312" w:lineRule="auto"/>
        <w:jc w:val="both"/>
        <w:rPr>
          <w:b/>
          <w:iCs/>
          <w:szCs w:val="16"/>
        </w:rPr>
      </w:pPr>
      <w:r w:rsidRPr="00386DE4">
        <w:rPr>
          <w:b/>
          <w:iCs/>
          <w:szCs w:val="16"/>
        </w:rPr>
        <w:t>PRISE EN CHARGE MEDICALE</w:t>
      </w:r>
    </w:p>
    <w:p w:rsidR="00386DE4" w:rsidRDefault="00427F20" w:rsidP="00427F20">
      <w:pPr>
        <w:spacing w:line="312" w:lineRule="auto"/>
        <w:jc w:val="both"/>
        <w:rPr>
          <w:iCs/>
        </w:rPr>
      </w:pPr>
      <w:r>
        <w:rPr>
          <w:iCs/>
        </w:rPr>
        <w:t>Courant la période du présent rapport, les fonds gérés</w:t>
      </w:r>
      <w:r w:rsidR="00512ED5">
        <w:rPr>
          <w:iCs/>
        </w:rPr>
        <w:t xml:space="preserve"> pour la prise en charge médicale (Dépistage, consultations, médicaments, opérations et lunettes)</w:t>
      </w:r>
      <w:r>
        <w:rPr>
          <w:iCs/>
        </w:rPr>
        <w:t xml:space="preserve"> se chiffrent à </w:t>
      </w:r>
      <w:r w:rsidR="00DC4452">
        <w:rPr>
          <w:b/>
          <w:i/>
          <w:iCs/>
        </w:rPr>
        <w:t>six cent cinquante cinq mille  (655</w:t>
      </w:r>
      <w:r>
        <w:rPr>
          <w:b/>
          <w:i/>
          <w:iCs/>
        </w:rPr>
        <w:t xml:space="preserve"> 000) francs CFA</w:t>
      </w:r>
      <w:r w:rsidR="00DC4452">
        <w:rPr>
          <w:b/>
          <w:i/>
          <w:iCs/>
        </w:rPr>
        <w:t xml:space="preserve"> soit 1000 euros</w:t>
      </w:r>
      <w:r>
        <w:rPr>
          <w:iCs/>
        </w:rPr>
        <w:t xml:space="preserve">. Les dépenses liées aux activités s’élèvent à </w:t>
      </w:r>
      <w:r w:rsidR="00EF186C">
        <w:rPr>
          <w:b/>
          <w:iCs/>
        </w:rPr>
        <w:t>huit cent soixante un</w:t>
      </w:r>
      <w:r w:rsidR="00DC4452">
        <w:rPr>
          <w:b/>
          <w:iCs/>
        </w:rPr>
        <w:t xml:space="preserve"> mil</w:t>
      </w:r>
      <w:r w:rsidR="00EF186C">
        <w:rPr>
          <w:b/>
          <w:iCs/>
        </w:rPr>
        <w:t>le soixante dix –huit  (861</w:t>
      </w:r>
      <w:r w:rsidR="00DC4452">
        <w:rPr>
          <w:b/>
          <w:iCs/>
        </w:rPr>
        <w:t xml:space="preserve"> 078</w:t>
      </w:r>
      <w:r>
        <w:rPr>
          <w:b/>
          <w:iCs/>
        </w:rPr>
        <w:t>) francs CFA</w:t>
      </w:r>
      <w:r w:rsidR="00DC4452">
        <w:rPr>
          <w:iCs/>
        </w:rPr>
        <w:t xml:space="preserve"> pour 10</w:t>
      </w:r>
      <w:r>
        <w:rPr>
          <w:iCs/>
        </w:rPr>
        <w:t>5 personnes, so</w:t>
      </w:r>
      <w:r w:rsidR="00EF186C">
        <w:rPr>
          <w:iCs/>
        </w:rPr>
        <w:t>it un dépassement au 11 février 2016</w:t>
      </w:r>
      <w:r>
        <w:rPr>
          <w:iCs/>
        </w:rPr>
        <w:t xml:space="preserve"> de </w:t>
      </w:r>
      <w:r w:rsidR="00EF186C">
        <w:rPr>
          <w:b/>
          <w:i/>
          <w:iCs/>
        </w:rPr>
        <w:t>cent soixante un mille soixante dix – huit  (161</w:t>
      </w:r>
      <w:r w:rsidR="00DC4452">
        <w:rPr>
          <w:b/>
          <w:i/>
          <w:iCs/>
        </w:rPr>
        <w:t xml:space="preserve"> 078</w:t>
      </w:r>
      <w:r>
        <w:rPr>
          <w:b/>
          <w:i/>
          <w:iCs/>
        </w:rPr>
        <w:t>) francs CFA</w:t>
      </w:r>
      <w:r>
        <w:rPr>
          <w:iCs/>
        </w:rPr>
        <w:t xml:space="preserve">. </w:t>
      </w:r>
    </w:p>
    <w:p w:rsidR="00386DE4" w:rsidRDefault="00386DE4" w:rsidP="00427F20">
      <w:pPr>
        <w:spacing w:line="312" w:lineRule="auto"/>
        <w:jc w:val="both"/>
        <w:rPr>
          <w:iCs/>
        </w:rPr>
      </w:pPr>
    </w:p>
    <w:p w:rsidR="00386DE4" w:rsidRDefault="00386DE4" w:rsidP="00386DE4">
      <w:pPr>
        <w:pStyle w:val="Paragraphedeliste"/>
        <w:numPr>
          <w:ilvl w:val="0"/>
          <w:numId w:val="5"/>
        </w:numPr>
        <w:spacing w:line="312" w:lineRule="auto"/>
        <w:jc w:val="both"/>
        <w:rPr>
          <w:b/>
          <w:iCs/>
        </w:rPr>
      </w:pPr>
      <w:r w:rsidRPr="00386DE4">
        <w:rPr>
          <w:b/>
          <w:iCs/>
        </w:rPr>
        <w:t>TRAVAUX DE CLÔTURE DU TERRAIN</w:t>
      </w:r>
    </w:p>
    <w:p w:rsidR="00386DE4" w:rsidRDefault="00512ED5" w:rsidP="00427F20">
      <w:pPr>
        <w:spacing w:line="312" w:lineRule="auto"/>
        <w:jc w:val="both"/>
        <w:rPr>
          <w:iCs/>
        </w:rPr>
      </w:pPr>
      <w:r w:rsidRPr="00512ED5">
        <w:rPr>
          <w:iCs/>
        </w:rPr>
        <w:t>Pour le</w:t>
      </w:r>
      <w:r>
        <w:rPr>
          <w:iCs/>
        </w:rPr>
        <w:t xml:space="preserve">s travaux qui ont été menés sur 33 jours dans le cadre de la réalisation de cette clôture en mur du terrain, nous avions utilisé </w:t>
      </w:r>
      <w:r w:rsidRPr="00512ED5">
        <w:rPr>
          <w:b/>
          <w:i/>
          <w:iCs/>
        </w:rPr>
        <w:t>un million trois cent quarante mille (1 340 000) francs CFA  soit 2 000</w:t>
      </w:r>
      <w:r>
        <w:rPr>
          <w:iCs/>
        </w:rPr>
        <w:t xml:space="preserve"> euros des fonds reçus de l’IAPB – ITALIA ONLUS. Les dépenses liées aux travaux s’élèvent en somme totale à </w:t>
      </w:r>
      <w:r w:rsidRPr="00512ED5">
        <w:rPr>
          <w:b/>
          <w:i/>
          <w:iCs/>
        </w:rPr>
        <w:t xml:space="preserve">un million </w:t>
      </w:r>
      <w:r w:rsidR="00FE09AD">
        <w:rPr>
          <w:b/>
          <w:i/>
          <w:iCs/>
        </w:rPr>
        <w:t>cinq cent soixante un mille sept cent vingt huit (1 561 728</w:t>
      </w:r>
      <w:r w:rsidRPr="00512ED5">
        <w:rPr>
          <w:b/>
          <w:i/>
          <w:iCs/>
        </w:rPr>
        <w:t>) francs cfa.</w:t>
      </w:r>
      <w:r>
        <w:rPr>
          <w:iCs/>
        </w:rPr>
        <w:t xml:space="preserve"> Ce qui a donné lieu à l’augmentation de la part du Projet d’Intégration d’une somme de  </w:t>
      </w:r>
      <w:r w:rsidR="00FE09AD">
        <w:rPr>
          <w:b/>
          <w:i/>
          <w:iCs/>
        </w:rPr>
        <w:t>deux cent vingt un mille sept cent vingt huit (221 728</w:t>
      </w:r>
      <w:r w:rsidRPr="00512ED5">
        <w:rPr>
          <w:b/>
          <w:i/>
          <w:iCs/>
        </w:rPr>
        <w:t>) francs CFA</w:t>
      </w:r>
      <w:r>
        <w:rPr>
          <w:iCs/>
        </w:rPr>
        <w:t xml:space="preserve"> sur le chantier de la clôture.</w:t>
      </w:r>
    </w:p>
    <w:p w:rsidR="00512ED5" w:rsidRDefault="00512ED5" w:rsidP="00427F20">
      <w:pPr>
        <w:spacing w:line="312" w:lineRule="auto"/>
        <w:jc w:val="both"/>
        <w:rPr>
          <w:iCs/>
        </w:rPr>
      </w:pPr>
    </w:p>
    <w:p w:rsidR="00427F20" w:rsidRDefault="00427F20" w:rsidP="00427F20">
      <w:pPr>
        <w:spacing w:line="312" w:lineRule="auto"/>
        <w:jc w:val="both"/>
        <w:rPr>
          <w:iCs/>
        </w:rPr>
      </w:pPr>
      <w:r>
        <w:rPr>
          <w:iCs/>
        </w:rPr>
        <w:t>Le détail des opérations comptables et financières est joint en annexe.</w:t>
      </w:r>
    </w:p>
    <w:p w:rsidR="00427F20" w:rsidRDefault="00427F20" w:rsidP="00427F20">
      <w:pPr>
        <w:jc w:val="both"/>
        <w:rPr>
          <w:iCs/>
          <w:sz w:val="16"/>
          <w:szCs w:val="16"/>
        </w:rPr>
      </w:pPr>
    </w:p>
    <w:tbl>
      <w:tblPr>
        <w:tblW w:w="9513" w:type="dxa"/>
        <w:tblInd w:w="55" w:type="dxa"/>
        <w:tblCellMar>
          <w:left w:w="70" w:type="dxa"/>
          <w:right w:w="70" w:type="dxa"/>
        </w:tblCellMar>
        <w:tblLook w:val="04A0"/>
      </w:tblPr>
      <w:tblGrid>
        <w:gridCol w:w="6252"/>
        <w:gridCol w:w="1843"/>
        <w:gridCol w:w="1418"/>
      </w:tblGrid>
      <w:tr w:rsidR="00427F20" w:rsidTr="00625C83">
        <w:trPr>
          <w:trHeight w:val="34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20" w:rsidRDefault="00427F20" w:rsidP="00625C83">
            <w:pPr>
              <w:jc w:val="center"/>
              <w:rPr>
                <w:rFonts w:ascii="Arial" w:hAnsi="Arial" w:cs="Arial"/>
                <w:b/>
                <w:bCs/>
                <w:sz w:val="20"/>
                <w:szCs w:val="20"/>
              </w:rPr>
            </w:pPr>
            <w:r>
              <w:rPr>
                <w:rFonts w:ascii="Arial" w:hAnsi="Arial" w:cs="Arial"/>
                <w:b/>
                <w:bCs/>
                <w:sz w:val="20"/>
                <w:szCs w:val="20"/>
              </w:rPr>
              <w:t xml:space="preserve">TABLEAU RECAPITULATIF </w:t>
            </w:r>
            <w:r w:rsidR="00DC4452">
              <w:rPr>
                <w:rFonts w:ascii="Arial" w:hAnsi="Arial" w:cs="Arial"/>
                <w:b/>
                <w:bCs/>
                <w:sz w:val="20"/>
                <w:szCs w:val="20"/>
              </w:rPr>
              <w:t>DE LA SITUATION FINANCIERE AU 24 NOVEMBRE</w:t>
            </w:r>
            <w:r>
              <w:rPr>
                <w:rFonts w:ascii="Arial" w:hAnsi="Arial" w:cs="Arial"/>
                <w:b/>
                <w:bCs/>
                <w:sz w:val="20"/>
                <w:szCs w:val="20"/>
              </w:rPr>
              <w:t xml:space="preserve"> 2015</w:t>
            </w:r>
          </w:p>
        </w:tc>
      </w:tr>
      <w:tr w:rsidR="00427F20" w:rsidTr="005A05F2">
        <w:trPr>
          <w:trHeight w:val="34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20" w:rsidRDefault="00427F20" w:rsidP="00625C83">
            <w:pPr>
              <w:rPr>
                <w:rFonts w:ascii="Arial" w:hAnsi="Arial" w:cs="Arial"/>
                <w:b/>
                <w:bCs/>
                <w:sz w:val="20"/>
                <w:szCs w:val="20"/>
              </w:rPr>
            </w:pPr>
            <w:r>
              <w:rPr>
                <w:rFonts w:ascii="Arial" w:hAnsi="Arial" w:cs="Arial"/>
                <w:b/>
                <w:bCs/>
                <w:sz w:val="20"/>
                <w:szCs w:val="20"/>
              </w:rPr>
              <w:t>Fonds reçus</w:t>
            </w:r>
          </w:p>
        </w:tc>
        <w:tc>
          <w:tcPr>
            <w:tcW w:w="1418" w:type="dxa"/>
            <w:tcBorders>
              <w:top w:val="nil"/>
              <w:left w:val="nil"/>
              <w:bottom w:val="single" w:sz="4" w:space="0" w:color="auto"/>
              <w:right w:val="single" w:sz="4" w:space="0" w:color="auto"/>
            </w:tcBorders>
            <w:shd w:val="clear" w:color="auto" w:fill="auto"/>
            <w:noWrap/>
            <w:vAlign w:val="bottom"/>
            <w:hideMark/>
          </w:tcPr>
          <w:p w:rsidR="00427F20" w:rsidRDefault="00A668D3" w:rsidP="00625C83">
            <w:pPr>
              <w:jc w:val="right"/>
              <w:rPr>
                <w:rFonts w:ascii="Arial" w:hAnsi="Arial" w:cs="Arial"/>
                <w:b/>
                <w:bCs/>
                <w:sz w:val="20"/>
                <w:szCs w:val="20"/>
              </w:rPr>
            </w:pPr>
            <w:r>
              <w:rPr>
                <w:rFonts w:ascii="Arial" w:hAnsi="Arial" w:cs="Arial"/>
                <w:b/>
                <w:bCs/>
                <w:sz w:val="20"/>
                <w:szCs w:val="20"/>
              </w:rPr>
              <w:t xml:space="preserve">     1</w:t>
            </w:r>
            <w:r w:rsidR="00386DE4">
              <w:rPr>
                <w:rFonts w:ascii="Arial" w:hAnsi="Arial" w:cs="Arial"/>
                <w:b/>
                <w:bCs/>
                <w:sz w:val="20"/>
                <w:szCs w:val="20"/>
              </w:rPr>
              <w:t xml:space="preserve"> 99</w:t>
            </w:r>
            <w:r w:rsidR="0088602C">
              <w:rPr>
                <w:rFonts w:ascii="Arial" w:hAnsi="Arial" w:cs="Arial"/>
                <w:b/>
                <w:bCs/>
                <w:sz w:val="20"/>
                <w:szCs w:val="20"/>
              </w:rPr>
              <w:t>5</w:t>
            </w:r>
            <w:r w:rsidR="00427F20">
              <w:rPr>
                <w:rFonts w:ascii="Arial" w:hAnsi="Arial" w:cs="Arial"/>
                <w:b/>
                <w:bCs/>
                <w:sz w:val="20"/>
                <w:szCs w:val="20"/>
              </w:rPr>
              <w:t xml:space="preserve"> 000   </w:t>
            </w:r>
          </w:p>
        </w:tc>
      </w:tr>
      <w:tr w:rsidR="00427F20" w:rsidTr="005A05F2">
        <w:trPr>
          <w:trHeight w:val="34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427F20" w:rsidRDefault="00DC4452" w:rsidP="00625C83">
            <w:pPr>
              <w:rPr>
                <w:rFonts w:ascii="Arial" w:hAnsi="Arial" w:cs="Arial"/>
                <w:i/>
                <w:iCs/>
                <w:sz w:val="20"/>
                <w:szCs w:val="20"/>
              </w:rPr>
            </w:pPr>
            <w:r>
              <w:rPr>
                <w:rFonts w:ascii="Arial" w:hAnsi="Arial" w:cs="Arial"/>
                <w:i/>
                <w:iCs/>
                <w:sz w:val="20"/>
                <w:szCs w:val="20"/>
              </w:rPr>
              <w:t>Report au 24/11/2015</w:t>
            </w:r>
            <w:r w:rsidR="0088602C">
              <w:rPr>
                <w:rFonts w:ascii="Arial" w:hAnsi="Arial" w:cs="Arial"/>
                <w:i/>
                <w:iCs/>
                <w:sz w:val="20"/>
                <w:szCs w:val="20"/>
              </w:rPr>
              <w:t xml:space="preserve"> (cf. rapport du 23/11/2015</w:t>
            </w:r>
            <w:r w:rsidR="00427F20">
              <w:rPr>
                <w:rFonts w:ascii="Arial" w:hAnsi="Arial" w:cs="Arial"/>
                <w:i/>
                <w:iCs/>
                <w:sz w:val="20"/>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rsidR="00427F20" w:rsidRDefault="0088602C" w:rsidP="00625C83">
            <w:pPr>
              <w:jc w:val="right"/>
              <w:rPr>
                <w:rFonts w:ascii="Arial" w:hAnsi="Arial" w:cs="Arial"/>
                <w:i/>
                <w:iCs/>
                <w:sz w:val="20"/>
                <w:szCs w:val="20"/>
              </w:rPr>
            </w:pPr>
            <w:r>
              <w:rPr>
                <w:rFonts w:ascii="Arial" w:hAnsi="Arial" w:cs="Arial"/>
                <w:i/>
                <w:iCs/>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427F20" w:rsidRDefault="00427F20" w:rsidP="00625C83">
            <w:pPr>
              <w:jc w:val="right"/>
              <w:rPr>
                <w:rFonts w:ascii="Arial" w:hAnsi="Arial" w:cs="Arial"/>
                <w:i/>
                <w:iCs/>
                <w:sz w:val="20"/>
                <w:szCs w:val="20"/>
              </w:rPr>
            </w:pPr>
            <w:r>
              <w:rPr>
                <w:rFonts w:ascii="Arial" w:hAnsi="Arial" w:cs="Arial"/>
                <w:i/>
                <w:iCs/>
                <w:sz w:val="20"/>
                <w:szCs w:val="20"/>
              </w:rPr>
              <w:t> </w:t>
            </w:r>
          </w:p>
        </w:tc>
      </w:tr>
      <w:tr w:rsidR="00427F20" w:rsidTr="005A05F2">
        <w:trPr>
          <w:trHeight w:val="34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427F20" w:rsidRDefault="00427F20" w:rsidP="00625C83">
            <w:pPr>
              <w:rPr>
                <w:rFonts w:ascii="Arial" w:hAnsi="Arial" w:cs="Arial"/>
                <w:i/>
                <w:iCs/>
                <w:sz w:val="20"/>
                <w:szCs w:val="20"/>
              </w:rPr>
            </w:pPr>
            <w:r>
              <w:rPr>
                <w:rFonts w:ascii="Arial" w:hAnsi="Arial" w:cs="Arial"/>
                <w:i/>
                <w:iCs/>
                <w:sz w:val="20"/>
                <w:szCs w:val="20"/>
              </w:rPr>
              <w:t xml:space="preserve">Fonds </w:t>
            </w:r>
            <w:r w:rsidR="0088602C">
              <w:rPr>
                <w:rFonts w:ascii="Arial" w:hAnsi="Arial" w:cs="Arial"/>
                <w:i/>
                <w:iCs/>
                <w:sz w:val="20"/>
                <w:szCs w:val="20"/>
              </w:rPr>
              <w:t>reçus le 24/11</w:t>
            </w:r>
            <w:r>
              <w:rPr>
                <w:rFonts w:ascii="Arial" w:hAnsi="Arial" w:cs="Arial"/>
                <w:i/>
                <w:iCs/>
                <w:sz w:val="20"/>
                <w:szCs w:val="20"/>
              </w:rPr>
              <w:t>/201</w:t>
            </w:r>
            <w:r w:rsidR="0088602C">
              <w:rPr>
                <w:rFonts w:ascii="Arial" w:hAnsi="Arial" w:cs="Arial"/>
                <w:i/>
                <w:iCs/>
                <w:sz w:val="20"/>
                <w:szCs w:val="20"/>
              </w:rPr>
              <w:t>5</w:t>
            </w:r>
          </w:p>
        </w:tc>
        <w:tc>
          <w:tcPr>
            <w:tcW w:w="1843" w:type="dxa"/>
            <w:tcBorders>
              <w:top w:val="nil"/>
              <w:left w:val="nil"/>
              <w:bottom w:val="single" w:sz="4" w:space="0" w:color="auto"/>
              <w:right w:val="single" w:sz="4" w:space="0" w:color="auto"/>
            </w:tcBorders>
            <w:shd w:val="clear" w:color="auto" w:fill="auto"/>
            <w:noWrap/>
            <w:vAlign w:val="center"/>
            <w:hideMark/>
          </w:tcPr>
          <w:p w:rsidR="00427F20" w:rsidRDefault="0088602C" w:rsidP="00625C83">
            <w:pPr>
              <w:jc w:val="right"/>
              <w:rPr>
                <w:rFonts w:ascii="Arial" w:hAnsi="Arial" w:cs="Arial"/>
                <w:i/>
                <w:iCs/>
                <w:sz w:val="20"/>
                <w:szCs w:val="20"/>
              </w:rPr>
            </w:pPr>
            <w:r>
              <w:rPr>
                <w:rFonts w:ascii="Arial" w:hAnsi="Arial" w:cs="Arial"/>
                <w:i/>
                <w:iCs/>
                <w:sz w:val="20"/>
                <w:szCs w:val="20"/>
              </w:rPr>
              <w:t>655</w:t>
            </w:r>
            <w:r w:rsidR="00427F20">
              <w:rPr>
                <w:rFonts w:ascii="Arial" w:hAnsi="Arial" w:cs="Arial"/>
                <w:i/>
                <w:iCs/>
                <w:sz w:val="20"/>
                <w:szCs w:val="20"/>
              </w:rPr>
              <w:t xml:space="preserve"> 000</w:t>
            </w:r>
          </w:p>
        </w:tc>
        <w:tc>
          <w:tcPr>
            <w:tcW w:w="1418" w:type="dxa"/>
            <w:tcBorders>
              <w:top w:val="nil"/>
              <w:left w:val="nil"/>
              <w:bottom w:val="single" w:sz="4" w:space="0" w:color="auto"/>
              <w:right w:val="single" w:sz="4" w:space="0" w:color="auto"/>
            </w:tcBorders>
            <w:shd w:val="clear" w:color="auto" w:fill="auto"/>
            <w:noWrap/>
            <w:vAlign w:val="bottom"/>
            <w:hideMark/>
          </w:tcPr>
          <w:p w:rsidR="00427F20" w:rsidRDefault="00427F20" w:rsidP="00625C83">
            <w:pPr>
              <w:jc w:val="right"/>
              <w:rPr>
                <w:rFonts w:ascii="Arial" w:hAnsi="Arial" w:cs="Arial"/>
                <w:i/>
                <w:iCs/>
                <w:sz w:val="20"/>
                <w:szCs w:val="20"/>
              </w:rPr>
            </w:pPr>
          </w:p>
        </w:tc>
      </w:tr>
      <w:tr w:rsidR="00386DE4" w:rsidTr="005A05F2">
        <w:trPr>
          <w:trHeight w:val="34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386DE4" w:rsidRDefault="00386DE4" w:rsidP="00625C83">
            <w:pPr>
              <w:rPr>
                <w:rFonts w:ascii="Arial" w:hAnsi="Arial" w:cs="Arial"/>
                <w:i/>
                <w:iCs/>
                <w:sz w:val="20"/>
                <w:szCs w:val="20"/>
              </w:rPr>
            </w:pPr>
            <w:r>
              <w:rPr>
                <w:rFonts w:ascii="Arial" w:hAnsi="Arial" w:cs="Arial"/>
                <w:i/>
                <w:iCs/>
                <w:sz w:val="20"/>
                <w:szCs w:val="20"/>
              </w:rPr>
              <w:t>Fonds reçus le 13/01/2016 pour les travaux de clôture du terrain</w:t>
            </w:r>
          </w:p>
        </w:tc>
        <w:tc>
          <w:tcPr>
            <w:tcW w:w="1843" w:type="dxa"/>
            <w:tcBorders>
              <w:top w:val="nil"/>
              <w:left w:val="nil"/>
              <w:bottom w:val="single" w:sz="4" w:space="0" w:color="auto"/>
              <w:right w:val="single" w:sz="4" w:space="0" w:color="auto"/>
            </w:tcBorders>
            <w:shd w:val="clear" w:color="auto" w:fill="auto"/>
            <w:noWrap/>
            <w:vAlign w:val="center"/>
            <w:hideMark/>
          </w:tcPr>
          <w:p w:rsidR="00386DE4" w:rsidRDefault="00386DE4" w:rsidP="00625C83">
            <w:pPr>
              <w:jc w:val="right"/>
              <w:rPr>
                <w:rFonts w:ascii="Arial" w:hAnsi="Arial" w:cs="Arial"/>
                <w:i/>
                <w:iCs/>
                <w:sz w:val="20"/>
                <w:szCs w:val="20"/>
              </w:rPr>
            </w:pPr>
            <w:r>
              <w:rPr>
                <w:rFonts w:ascii="Arial" w:hAnsi="Arial" w:cs="Arial"/>
                <w:i/>
                <w:iCs/>
                <w:sz w:val="20"/>
                <w:szCs w:val="20"/>
              </w:rPr>
              <w:t>1 340 000</w:t>
            </w:r>
          </w:p>
        </w:tc>
        <w:tc>
          <w:tcPr>
            <w:tcW w:w="1418" w:type="dxa"/>
            <w:tcBorders>
              <w:top w:val="nil"/>
              <w:left w:val="nil"/>
              <w:bottom w:val="single" w:sz="4" w:space="0" w:color="auto"/>
              <w:right w:val="single" w:sz="4" w:space="0" w:color="auto"/>
            </w:tcBorders>
            <w:shd w:val="clear" w:color="auto" w:fill="auto"/>
            <w:noWrap/>
            <w:vAlign w:val="bottom"/>
            <w:hideMark/>
          </w:tcPr>
          <w:p w:rsidR="00386DE4" w:rsidRDefault="00386DE4" w:rsidP="00625C83">
            <w:pPr>
              <w:jc w:val="right"/>
              <w:rPr>
                <w:rFonts w:ascii="Arial" w:hAnsi="Arial" w:cs="Arial"/>
                <w:i/>
                <w:iCs/>
                <w:sz w:val="20"/>
                <w:szCs w:val="20"/>
              </w:rPr>
            </w:pPr>
          </w:p>
        </w:tc>
      </w:tr>
      <w:tr w:rsidR="00427F20" w:rsidTr="005A05F2">
        <w:trPr>
          <w:trHeight w:val="34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20" w:rsidRDefault="00427F20" w:rsidP="00625C83">
            <w:pPr>
              <w:rPr>
                <w:rFonts w:ascii="Arial" w:hAnsi="Arial" w:cs="Arial"/>
                <w:b/>
                <w:bCs/>
                <w:sz w:val="20"/>
                <w:szCs w:val="20"/>
              </w:rPr>
            </w:pPr>
            <w:r>
              <w:rPr>
                <w:rFonts w:ascii="Arial" w:hAnsi="Arial" w:cs="Arial"/>
                <w:b/>
                <w:bCs/>
                <w:sz w:val="20"/>
                <w:szCs w:val="20"/>
              </w:rPr>
              <w:t>Dépenses</w:t>
            </w:r>
          </w:p>
        </w:tc>
        <w:tc>
          <w:tcPr>
            <w:tcW w:w="1418" w:type="dxa"/>
            <w:tcBorders>
              <w:top w:val="nil"/>
              <w:left w:val="nil"/>
              <w:bottom w:val="single" w:sz="4" w:space="0" w:color="auto"/>
              <w:right w:val="single" w:sz="4" w:space="0" w:color="auto"/>
            </w:tcBorders>
            <w:shd w:val="clear" w:color="auto" w:fill="auto"/>
            <w:noWrap/>
            <w:vAlign w:val="bottom"/>
            <w:hideMark/>
          </w:tcPr>
          <w:p w:rsidR="00427F20" w:rsidRDefault="00A668D3" w:rsidP="00625C83">
            <w:pPr>
              <w:jc w:val="right"/>
              <w:rPr>
                <w:rFonts w:ascii="Arial" w:hAnsi="Arial" w:cs="Arial"/>
                <w:b/>
                <w:bCs/>
                <w:sz w:val="20"/>
                <w:szCs w:val="20"/>
              </w:rPr>
            </w:pPr>
            <w:r>
              <w:rPr>
                <w:rFonts w:ascii="Arial" w:hAnsi="Arial" w:cs="Arial"/>
                <w:b/>
                <w:bCs/>
                <w:sz w:val="20"/>
                <w:szCs w:val="20"/>
              </w:rPr>
              <w:t>2 2</w:t>
            </w:r>
            <w:r w:rsidR="00FE09AD">
              <w:rPr>
                <w:rFonts w:ascii="Arial" w:hAnsi="Arial" w:cs="Arial"/>
                <w:b/>
                <w:bCs/>
                <w:sz w:val="20"/>
                <w:szCs w:val="20"/>
              </w:rPr>
              <w:t>75 806</w:t>
            </w:r>
            <w:r w:rsidR="00427F20">
              <w:rPr>
                <w:rFonts w:ascii="Arial" w:hAnsi="Arial" w:cs="Arial"/>
                <w:b/>
                <w:bCs/>
                <w:sz w:val="20"/>
                <w:szCs w:val="20"/>
              </w:rPr>
              <w:t xml:space="preserve">   </w:t>
            </w:r>
          </w:p>
        </w:tc>
      </w:tr>
      <w:tr w:rsidR="00427F20" w:rsidTr="005A05F2">
        <w:trPr>
          <w:trHeight w:val="34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427F20" w:rsidRDefault="00427F20" w:rsidP="00625C83">
            <w:pPr>
              <w:rPr>
                <w:rFonts w:ascii="Arial" w:hAnsi="Arial" w:cs="Arial"/>
                <w:i/>
                <w:iCs/>
                <w:sz w:val="20"/>
                <w:szCs w:val="20"/>
              </w:rPr>
            </w:pPr>
            <w:r>
              <w:rPr>
                <w:rFonts w:ascii="Arial" w:hAnsi="Arial" w:cs="Arial"/>
                <w:i/>
                <w:iCs/>
                <w:sz w:val="20"/>
                <w:szCs w:val="20"/>
              </w:rPr>
              <w:t>Frais de consultation, analyse, médicaments, opération et lunettes</w:t>
            </w:r>
          </w:p>
        </w:tc>
        <w:tc>
          <w:tcPr>
            <w:tcW w:w="1843" w:type="dxa"/>
            <w:tcBorders>
              <w:top w:val="nil"/>
              <w:left w:val="nil"/>
              <w:bottom w:val="single" w:sz="4" w:space="0" w:color="auto"/>
              <w:right w:val="single" w:sz="4" w:space="0" w:color="auto"/>
            </w:tcBorders>
            <w:shd w:val="clear" w:color="auto" w:fill="auto"/>
            <w:noWrap/>
            <w:vAlign w:val="center"/>
            <w:hideMark/>
          </w:tcPr>
          <w:p w:rsidR="00427F20" w:rsidRDefault="00EF186C" w:rsidP="00625C83">
            <w:pPr>
              <w:jc w:val="right"/>
              <w:rPr>
                <w:rFonts w:ascii="Arial" w:hAnsi="Arial" w:cs="Arial"/>
                <w:i/>
                <w:iCs/>
                <w:sz w:val="20"/>
                <w:szCs w:val="20"/>
              </w:rPr>
            </w:pPr>
            <w:r>
              <w:rPr>
                <w:rFonts w:ascii="Arial" w:hAnsi="Arial" w:cs="Arial"/>
                <w:i/>
                <w:iCs/>
                <w:sz w:val="20"/>
                <w:szCs w:val="20"/>
              </w:rPr>
              <w:t>861</w:t>
            </w:r>
            <w:r w:rsidR="0088602C">
              <w:rPr>
                <w:rFonts w:ascii="Arial" w:hAnsi="Arial" w:cs="Arial"/>
                <w:i/>
                <w:iCs/>
                <w:sz w:val="20"/>
                <w:szCs w:val="20"/>
              </w:rPr>
              <w:t xml:space="preserve"> </w:t>
            </w:r>
            <w:r w:rsidR="00427F20">
              <w:rPr>
                <w:rFonts w:ascii="Arial" w:hAnsi="Arial" w:cs="Arial"/>
                <w:i/>
                <w:iCs/>
                <w:sz w:val="20"/>
                <w:szCs w:val="20"/>
              </w:rPr>
              <w:t>0</w:t>
            </w:r>
            <w:r w:rsidR="0088602C">
              <w:rPr>
                <w:rFonts w:ascii="Arial" w:hAnsi="Arial" w:cs="Arial"/>
                <w:i/>
                <w:iCs/>
                <w:sz w:val="20"/>
                <w:szCs w:val="20"/>
              </w:rPr>
              <w:t>78</w:t>
            </w:r>
          </w:p>
        </w:tc>
        <w:tc>
          <w:tcPr>
            <w:tcW w:w="1418" w:type="dxa"/>
            <w:tcBorders>
              <w:top w:val="nil"/>
              <w:left w:val="nil"/>
              <w:bottom w:val="single" w:sz="4" w:space="0" w:color="auto"/>
              <w:right w:val="single" w:sz="4" w:space="0" w:color="auto"/>
            </w:tcBorders>
            <w:shd w:val="clear" w:color="auto" w:fill="auto"/>
            <w:noWrap/>
            <w:vAlign w:val="bottom"/>
            <w:hideMark/>
          </w:tcPr>
          <w:p w:rsidR="00427F20" w:rsidRDefault="00427F20" w:rsidP="00625C83">
            <w:pPr>
              <w:jc w:val="right"/>
              <w:rPr>
                <w:rFonts w:ascii="Arial" w:hAnsi="Arial" w:cs="Arial"/>
                <w:i/>
                <w:iCs/>
                <w:sz w:val="20"/>
                <w:szCs w:val="20"/>
              </w:rPr>
            </w:pPr>
            <w:r>
              <w:rPr>
                <w:rFonts w:ascii="Arial" w:hAnsi="Arial" w:cs="Arial"/>
                <w:i/>
                <w:iCs/>
                <w:sz w:val="20"/>
                <w:szCs w:val="20"/>
              </w:rPr>
              <w:t> </w:t>
            </w:r>
          </w:p>
        </w:tc>
      </w:tr>
      <w:tr w:rsidR="00A668D3" w:rsidTr="005A05F2">
        <w:trPr>
          <w:trHeight w:val="34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A668D3" w:rsidRDefault="00A668D3" w:rsidP="00625C83">
            <w:pPr>
              <w:rPr>
                <w:rFonts w:ascii="Arial" w:hAnsi="Arial" w:cs="Arial"/>
                <w:i/>
                <w:iCs/>
                <w:sz w:val="20"/>
                <w:szCs w:val="20"/>
              </w:rPr>
            </w:pPr>
            <w:r>
              <w:rPr>
                <w:rFonts w:ascii="Arial" w:hAnsi="Arial" w:cs="Arial"/>
                <w:i/>
                <w:iCs/>
                <w:sz w:val="20"/>
                <w:szCs w:val="20"/>
              </w:rPr>
              <w:t>Frais d’achat de ciments, sables, gravier, fer et les mains d’œuvre</w:t>
            </w:r>
          </w:p>
        </w:tc>
        <w:tc>
          <w:tcPr>
            <w:tcW w:w="1843" w:type="dxa"/>
            <w:tcBorders>
              <w:top w:val="nil"/>
              <w:left w:val="nil"/>
              <w:bottom w:val="single" w:sz="4" w:space="0" w:color="auto"/>
              <w:right w:val="single" w:sz="4" w:space="0" w:color="auto"/>
            </w:tcBorders>
            <w:shd w:val="clear" w:color="auto" w:fill="auto"/>
            <w:noWrap/>
            <w:vAlign w:val="center"/>
            <w:hideMark/>
          </w:tcPr>
          <w:p w:rsidR="00A668D3" w:rsidRDefault="00A668D3" w:rsidP="00625C83">
            <w:pPr>
              <w:jc w:val="right"/>
              <w:rPr>
                <w:rFonts w:ascii="Arial" w:hAnsi="Arial" w:cs="Arial"/>
                <w:i/>
                <w:iCs/>
                <w:sz w:val="20"/>
                <w:szCs w:val="20"/>
              </w:rPr>
            </w:pPr>
            <w:r>
              <w:rPr>
                <w:rFonts w:ascii="Arial" w:hAnsi="Arial" w:cs="Arial"/>
                <w:i/>
                <w:iCs/>
                <w:sz w:val="20"/>
                <w:szCs w:val="20"/>
              </w:rPr>
              <w:t>1 5</w:t>
            </w:r>
            <w:r w:rsidR="00FE09AD">
              <w:rPr>
                <w:rFonts w:ascii="Arial" w:hAnsi="Arial" w:cs="Arial"/>
                <w:i/>
                <w:iCs/>
                <w:sz w:val="20"/>
                <w:szCs w:val="20"/>
              </w:rPr>
              <w:t>61</w:t>
            </w:r>
            <w:r>
              <w:rPr>
                <w:rFonts w:ascii="Arial" w:hAnsi="Arial" w:cs="Arial"/>
                <w:i/>
                <w:iCs/>
                <w:sz w:val="20"/>
                <w:szCs w:val="20"/>
              </w:rPr>
              <w:t xml:space="preserve"> </w:t>
            </w:r>
            <w:r w:rsidR="00FE09AD">
              <w:rPr>
                <w:rFonts w:ascii="Arial" w:hAnsi="Arial" w:cs="Arial"/>
                <w:i/>
                <w:iCs/>
                <w:sz w:val="20"/>
                <w:szCs w:val="20"/>
              </w:rPr>
              <w:t>728</w:t>
            </w:r>
          </w:p>
        </w:tc>
        <w:tc>
          <w:tcPr>
            <w:tcW w:w="1418" w:type="dxa"/>
            <w:tcBorders>
              <w:top w:val="nil"/>
              <w:left w:val="nil"/>
              <w:bottom w:val="single" w:sz="4" w:space="0" w:color="auto"/>
              <w:right w:val="single" w:sz="4" w:space="0" w:color="auto"/>
            </w:tcBorders>
            <w:shd w:val="clear" w:color="auto" w:fill="auto"/>
            <w:noWrap/>
            <w:vAlign w:val="bottom"/>
            <w:hideMark/>
          </w:tcPr>
          <w:p w:rsidR="00A668D3" w:rsidRDefault="00A668D3" w:rsidP="00625C83">
            <w:pPr>
              <w:jc w:val="right"/>
              <w:rPr>
                <w:rFonts w:ascii="Arial" w:hAnsi="Arial" w:cs="Arial"/>
                <w:i/>
                <w:iCs/>
                <w:sz w:val="20"/>
                <w:szCs w:val="20"/>
              </w:rPr>
            </w:pPr>
          </w:p>
        </w:tc>
      </w:tr>
      <w:tr w:rsidR="00427F20" w:rsidTr="005A05F2">
        <w:trPr>
          <w:trHeight w:val="340"/>
        </w:trPr>
        <w:tc>
          <w:tcPr>
            <w:tcW w:w="8095"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27F20" w:rsidRDefault="0088602C" w:rsidP="00625C83">
            <w:pPr>
              <w:rPr>
                <w:rFonts w:ascii="Arial" w:hAnsi="Arial" w:cs="Arial"/>
                <w:b/>
                <w:bCs/>
                <w:sz w:val="20"/>
                <w:szCs w:val="20"/>
              </w:rPr>
            </w:pPr>
            <w:r>
              <w:rPr>
                <w:rFonts w:ascii="Arial" w:hAnsi="Arial" w:cs="Arial"/>
                <w:b/>
                <w:bCs/>
                <w:sz w:val="20"/>
                <w:szCs w:val="20"/>
              </w:rPr>
              <w:t>Dépassement au 11/02/2016 (remboursé</w:t>
            </w:r>
            <w:r w:rsidR="00427F20">
              <w:rPr>
                <w:rFonts w:ascii="Arial" w:hAnsi="Arial" w:cs="Arial"/>
                <w:b/>
                <w:bCs/>
                <w:sz w:val="20"/>
                <w:szCs w:val="20"/>
              </w:rPr>
              <w:t xml:space="preserve"> au COJP2)</w:t>
            </w:r>
          </w:p>
        </w:tc>
        <w:tc>
          <w:tcPr>
            <w:tcW w:w="1418" w:type="dxa"/>
            <w:tcBorders>
              <w:top w:val="nil"/>
              <w:left w:val="nil"/>
              <w:bottom w:val="single" w:sz="4" w:space="0" w:color="auto"/>
              <w:right w:val="single" w:sz="4" w:space="0" w:color="auto"/>
            </w:tcBorders>
            <w:shd w:val="clear" w:color="000000" w:fill="D8D8D8"/>
            <w:noWrap/>
            <w:vAlign w:val="center"/>
            <w:hideMark/>
          </w:tcPr>
          <w:p w:rsidR="00427F20" w:rsidRDefault="00EF186C" w:rsidP="00625C83">
            <w:pPr>
              <w:jc w:val="right"/>
              <w:rPr>
                <w:rFonts w:ascii="Arial" w:hAnsi="Arial" w:cs="Arial"/>
                <w:b/>
                <w:sz w:val="20"/>
                <w:szCs w:val="20"/>
              </w:rPr>
            </w:pPr>
            <w:r>
              <w:rPr>
                <w:rFonts w:ascii="Arial" w:hAnsi="Arial" w:cs="Arial"/>
                <w:b/>
                <w:sz w:val="20"/>
                <w:szCs w:val="20"/>
              </w:rPr>
              <w:t>161</w:t>
            </w:r>
            <w:r w:rsidR="0088602C">
              <w:rPr>
                <w:rFonts w:ascii="Arial" w:hAnsi="Arial" w:cs="Arial"/>
                <w:b/>
                <w:sz w:val="20"/>
                <w:szCs w:val="20"/>
              </w:rPr>
              <w:t xml:space="preserve"> 078</w:t>
            </w:r>
          </w:p>
        </w:tc>
      </w:tr>
      <w:tr w:rsidR="00A668D3" w:rsidTr="005A05F2">
        <w:trPr>
          <w:trHeight w:val="340"/>
        </w:trPr>
        <w:tc>
          <w:tcPr>
            <w:tcW w:w="8095"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tcPr>
          <w:p w:rsidR="00A668D3" w:rsidRDefault="00A668D3" w:rsidP="00A668D3">
            <w:pPr>
              <w:rPr>
                <w:rFonts w:ascii="Arial" w:hAnsi="Arial" w:cs="Arial"/>
                <w:b/>
                <w:bCs/>
                <w:sz w:val="20"/>
                <w:szCs w:val="20"/>
              </w:rPr>
            </w:pPr>
            <w:r>
              <w:rPr>
                <w:rFonts w:ascii="Arial" w:hAnsi="Arial" w:cs="Arial"/>
                <w:b/>
                <w:bCs/>
                <w:sz w:val="20"/>
                <w:szCs w:val="20"/>
              </w:rPr>
              <w:t xml:space="preserve">Dépassement au 08/02/2016 (dépenses complétées </w:t>
            </w:r>
            <w:r w:rsidR="009221F7">
              <w:rPr>
                <w:rFonts w:ascii="Arial" w:hAnsi="Arial" w:cs="Arial"/>
                <w:b/>
                <w:bCs/>
                <w:sz w:val="20"/>
                <w:szCs w:val="20"/>
              </w:rPr>
              <w:t xml:space="preserve">par </w:t>
            </w:r>
            <w:r>
              <w:rPr>
                <w:rFonts w:ascii="Arial" w:hAnsi="Arial" w:cs="Arial"/>
                <w:b/>
                <w:bCs/>
                <w:sz w:val="20"/>
                <w:szCs w:val="20"/>
              </w:rPr>
              <w:t>PINV</w:t>
            </w:r>
            <w:r w:rsidR="009221F7">
              <w:rPr>
                <w:rFonts w:ascii="Arial" w:hAnsi="Arial" w:cs="Arial"/>
                <w:b/>
                <w:bCs/>
                <w:sz w:val="20"/>
                <w:szCs w:val="20"/>
              </w:rPr>
              <w:t>/</w:t>
            </w:r>
            <w:r>
              <w:rPr>
                <w:rFonts w:ascii="Arial" w:hAnsi="Arial" w:cs="Arial"/>
                <w:b/>
                <w:bCs/>
                <w:sz w:val="20"/>
                <w:szCs w:val="20"/>
              </w:rPr>
              <w:t>travaux de la clôture</w:t>
            </w:r>
            <w:r w:rsidR="009221F7">
              <w:rPr>
                <w:rFonts w:ascii="Arial" w:hAnsi="Arial" w:cs="Arial"/>
                <w:b/>
                <w:bCs/>
                <w:sz w:val="20"/>
                <w:szCs w:val="20"/>
              </w:rPr>
              <w:t>)</w:t>
            </w:r>
          </w:p>
        </w:tc>
        <w:tc>
          <w:tcPr>
            <w:tcW w:w="1418" w:type="dxa"/>
            <w:tcBorders>
              <w:top w:val="single" w:sz="4" w:space="0" w:color="auto"/>
              <w:left w:val="nil"/>
              <w:bottom w:val="single" w:sz="4" w:space="0" w:color="auto"/>
              <w:right w:val="single" w:sz="4" w:space="0" w:color="auto"/>
            </w:tcBorders>
            <w:shd w:val="clear" w:color="000000" w:fill="D8D8D8"/>
            <w:noWrap/>
            <w:vAlign w:val="center"/>
          </w:tcPr>
          <w:p w:rsidR="00A668D3" w:rsidRDefault="004F61B1" w:rsidP="00625C83">
            <w:pPr>
              <w:jc w:val="right"/>
              <w:rPr>
                <w:rFonts w:ascii="Arial" w:hAnsi="Arial" w:cs="Arial"/>
                <w:b/>
                <w:sz w:val="20"/>
                <w:szCs w:val="20"/>
              </w:rPr>
            </w:pPr>
            <w:r>
              <w:rPr>
                <w:rFonts w:ascii="Arial" w:hAnsi="Arial" w:cs="Arial"/>
                <w:b/>
                <w:sz w:val="20"/>
                <w:szCs w:val="20"/>
              </w:rPr>
              <w:t>221</w:t>
            </w:r>
            <w:r w:rsidR="009221F7">
              <w:rPr>
                <w:rFonts w:ascii="Arial" w:hAnsi="Arial" w:cs="Arial"/>
                <w:b/>
                <w:sz w:val="20"/>
                <w:szCs w:val="20"/>
              </w:rPr>
              <w:t xml:space="preserve"> </w:t>
            </w:r>
            <w:r w:rsidR="00FE09AD">
              <w:rPr>
                <w:rFonts w:ascii="Arial" w:hAnsi="Arial" w:cs="Arial"/>
                <w:b/>
                <w:sz w:val="20"/>
                <w:szCs w:val="20"/>
              </w:rPr>
              <w:t>728</w:t>
            </w:r>
          </w:p>
        </w:tc>
      </w:tr>
      <w:tr w:rsidR="00EF186C" w:rsidTr="005A05F2">
        <w:trPr>
          <w:trHeight w:val="340"/>
        </w:trPr>
        <w:tc>
          <w:tcPr>
            <w:tcW w:w="8095"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tcPr>
          <w:p w:rsidR="00EF186C" w:rsidRPr="00EF186C" w:rsidRDefault="005A05F2" w:rsidP="005A05F2">
            <w:pPr>
              <w:rPr>
                <w:rFonts w:ascii="Arial" w:hAnsi="Arial" w:cs="Arial"/>
                <w:b/>
                <w:bCs/>
                <w:color w:val="FF0000"/>
                <w:sz w:val="20"/>
                <w:szCs w:val="20"/>
              </w:rPr>
            </w:pPr>
            <w:r w:rsidRPr="00EF186C">
              <w:rPr>
                <w:rFonts w:ascii="Arial" w:hAnsi="Arial" w:cs="Arial"/>
                <w:b/>
                <w:bCs/>
                <w:color w:val="FF0000"/>
                <w:sz w:val="20"/>
                <w:szCs w:val="20"/>
              </w:rPr>
              <w:t>DEPASSEMENT TOTAL DE LA GESTION AU 13 FEVRIE</w:t>
            </w:r>
            <w:r>
              <w:rPr>
                <w:rFonts w:ascii="Arial" w:hAnsi="Arial" w:cs="Arial"/>
                <w:b/>
                <w:bCs/>
                <w:color w:val="FF0000"/>
                <w:sz w:val="20"/>
                <w:szCs w:val="20"/>
              </w:rPr>
              <w:t>R 2016 AVEC</w:t>
            </w:r>
            <w:r w:rsidRPr="00EF186C">
              <w:rPr>
                <w:rFonts w:ascii="Arial" w:hAnsi="Arial" w:cs="Arial"/>
                <w:b/>
                <w:bCs/>
                <w:color w:val="FF0000"/>
                <w:sz w:val="20"/>
                <w:szCs w:val="20"/>
              </w:rPr>
              <w:t xml:space="preserve"> LA CONTRIBUTION DES 3000 EUROS</w:t>
            </w:r>
            <w:r w:rsidR="00EF186C" w:rsidRPr="00EF186C">
              <w:rPr>
                <w:rFonts w:ascii="Arial" w:hAnsi="Arial" w:cs="Arial"/>
                <w:b/>
                <w:bCs/>
                <w:color w:val="FF0000"/>
                <w:sz w:val="20"/>
                <w:szCs w:val="20"/>
              </w:rPr>
              <w:t xml:space="preserve"> de l</w:t>
            </w:r>
            <w:r>
              <w:rPr>
                <w:rFonts w:ascii="Arial" w:hAnsi="Arial" w:cs="Arial"/>
                <w:b/>
                <w:bCs/>
                <w:color w:val="FF0000"/>
                <w:sz w:val="20"/>
                <w:szCs w:val="20"/>
              </w:rPr>
              <w:t>’IAPB</w:t>
            </w:r>
            <w:r w:rsidR="00EF186C" w:rsidRPr="00EF186C">
              <w:rPr>
                <w:rFonts w:ascii="Arial" w:hAnsi="Arial" w:cs="Arial"/>
                <w:b/>
                <w:bCs/>
                <w:color w:val="FF0000"/>
                <w:sz w:val="20"/>
                <w:szCs w:val="20"/>
              </w:rPr>
              <w:t xml:space="preserve"> –ITALIA ONLUS </w:t>
            </w:r>
            <w:r>
              <w:rPr>
                <w:rFonts w:ascii="Arial" w:hAnsi="Arial" w:cs="Arial"/>
                <w:b/>
                <w:bCs/>
                <w:color w:val="FF0000"/>
                <w:sz w:val="20"/>
                <w:szCs w:val="20"/>
              </w:rPr>
              <w:t>DU 24 NOVEMBRE 16</w:t>
            </w:r>
          </w:p>
        </w:tc>
        <w:tc>
          <w:tcPr>
            <w:tcW w:w="1418" w:type="dxa"/>
            <w:tcBorders>
              <w:top w:val="single" w:sz="4" w:space="0" w:color="auto"/>
              <w:left w:val="nil"/>
              <w:bottom w:val="single" w:sz="4" w:space="0" w:color="auto"/>
              <w:right w:val="single" w:sz="4" w:space="0" w:color="auto"/>
            </w:tcBorders>
            <w:shd w:val="clear" w:color="000000" w:fill="D8D8D8"/>
            <w:noWrap/>
            <w:vAlign w:val="center"/>
          </w:tcPr>
          <w:p w:rsidR="00EF186C" w:rsidRPr="00EF186C" w:rsidRDefault="00EF186C" w:rsidP="00625C83">
            <w:pPr>
              <w:jc w:val="right"/>
              <w:rPr>
                <w:rFonts w:ascii="Arial" w:hAnsi="Arial" w:cs="Arial"/>
                <w:b/>
                <w:color w:val="FF0000"/>
                <w:sz w:val="20"/>
                <w:szCs w:val="20"/>
              </w:rPr>
            </w:pPr>
            <w:r w:rsidRPr="00EF186C">
              <w:rPr>
                <w:rFonts w:ascii="Arial" w:hAnsi="Arial" w:cs="Arial"/>
                <w:b/>
                <w:color w:val="FF0000"/>
                <w:sz w:val="20"/>
                <w:szCs w:val="20"/>
              </w:rPr>
              <w:t>382806</w:t>
            </w:r>
          </w:p>
        </w:tc>
      </w:tr>
    </w:tbl>
    <w:p w:rsidR="00427F20" w:rsidRDefault="00427F20" w:rsidP="00427F20">
      <w:pPr>
        <w:jc w:val="both"/>
        <w:rPr>
          <w:iCs/>
        </w:rPr>
      </w:pPr>
    </w:p>
    <w:p w:rsidR="00427F20" w:rsidRDefault="00427F20" w:rsidP="00427F20">
      <w:pPr>
        <w:rPr>
          <w:bCs/>
          <w:i/>
          <w:iCs/>
        </w:rPr>
      </w:pPr>
    </w:p>
    <w:p w:rsidR="00427F20" w:rsidRDefault="00427F20" w:rsidP="00427F20">
      <w:pPr>
        <w:pStyle w:val="Paragraphedeliste"/>
        <w:numPr>
          <w:ilvl w:val="0"/>
          <w:numId w:val="3"/>
        </w:numPr>
        <w:rPr>
          <w:b/>
          <w:i/>
          <w:sz w:val="28"/>
          <w:szCs w:val="28"/>
        </w:rPr>
      </w:pPr>
      <w:bookmarkStart w:id="4" w:name="_Toc234899597"/>
      <w:r>
        <w:rPr>
          <w:b/>
          <w:i/>
          <w:sz w:val="28"/>
          <w:szCs w:val="28"/>
        </w:rPr>
        <w:t>Conclusion</w:t>
      </w:r>
      <w:bookmarkEnd w:id="4"/>
    </w:p>
    <w:p w:rsidR="00427F20" w:rsidRDefault="00427F20" w:rsidP="00427F20"/>
    <w:p w:rsidR="00D932FA" w:rsidRDefault="00427F20" w:rsidP="002E76C5">
      <w:pPr>
        <w:spacing w:line="312" w:lineRule="auto"/>
        <w:jc w:val="both"/>
      </w:pPr>
      <w:r>
        <w:t>No</w:t>
      </w:r>
      <w:r w:rsidR="002E76C5">
        <w:t>u</w:t>
      </w:r>
      <w:r>
        <w:t xml:space="preserve">s </w:t>
      </w:r>
      <w:r w:rsidR="002E76C5">
        <w:t xml:space="preserve">réitérons nos </w:t>
      </w:r>
      <w:r>
        <w:t xml:space="preserve">sincères remerciements </w:t>
      </w:r>
      <w:r w:rsidR="0088602C">
        <w:t>à l’IAPB – ITALIA ONLUS et à ses partenaires pour cet appui financier qu’il</w:t>
      </w:r>
      <w:r>
        <w:t xml:space="preserve"> nous</w:t>
      </w:r>
      <w:r w:rsidR="0088602C">
        <w:t xml:space="preserve"> a apporté. Cet appui</w:t>
      </w:r>
      <w:r>
        <w:t xml:space="preserve"> en complém</w:t>
      </w:r>
      <w:r w:rsidR="0088602C">
        <w:t>ent de la contribution du PINV</w:t>
      </w:r>
      <w:r>
        <w:t>,  nous</w:t>
      </w:r>
      <w:r w:rsidR="0088602C">
        <w:t xml:space="preserve"> a</w:t>
      </w:r>
      <w:r>
        <w:t xml:space="preserve"> per</w:t>
      </w:r>
      <w:r w:rsidR="0088602C">
        <w:t>mis</w:t>
      </w:r>
      <w:r>
        <w:t xml:space="preserve"> de prendre en charge beaucoup de personnes souffrant de maux d’yeux. Les moyens étant toujours insuffisants face aux besoins sans cesse croissants, nous invitons les bonnes</w:t>
      </w:r>
      <w:r w:rsidR="0088602C">
        <w:t xml:space="preserve"> volontés et surtout IABP – ITALIA ONLUS</w:t>
      </w:r>
      <w:r>
        <w:t xml:space="preserve"> à </w:t>
      </w:r>
      <w:r w:rsidR="0088602C">
        <w:t xml:space="preserve">toujours </w:t>
      </w:r>
      <w:r>
        <w:t>nous soutenir pour l’accomplissement de cette noble mission.</w:t>
      </w:r>
      <w:r w:rsidR="0088602C">
        <w:t xml:space="preserve"> La réalisation de notre propre centre médico – s</w:t>
      </w:r>
      <w:r w:rsidR="00512ED5">
        <w:t>ocial ophtalmologique nous réduirait beaucoup</w:t>
      </w:r>
      <w:r w:rsidR="00FE631C">
        <w:t xml:space="preserve"> les dépenses dans la prévention</w:t>
      </w:r>
      <w:r w:rsidR="0088602C">
        <w:t>.</w:t>
      </w:r>
      <w:r>
        <w:t xml:space="preserve"> </w:t>
      </w:r>
      <w:r w:rsidR="002E76C5">
        <w:t xml:space="preserve">Comme nous l’avons déjà évoqué plus haut et si vous nous permettez de nous reprendre, nous aimerions redire cette idée qui est que la lutte contre la cécité concerne chacun d’entre nous. Ainsi agissons ensemble et contribuons efficacement à la réinsertion sociale de ces personnes démunies. On ne choisit pas d’être pauvre ni malade, et toute personne quelle que soit son origine a le droit d’accéder à des </w:t>
      </w:r>
      <w:r w:rsidR="002E76C5">
        <w:lastRenderedPageBreak/>
        <w:t xml:space="preserve">soins de qualité. Grâce à votre soutien nous pouvons agir  régulièrement en prenant médicalement en charge des personnes souffrant de cécité due au cataracte par de nouvelles techniques de chirurgie et ceci dans des conditions optimales d’intervention. </w:t>
      </w:r>
    </w:p>
    <w:p w:rsidR="00D932FA" w:rsidRDefault="00D932FA" w:rsidP="002E76C5">
      <w:pPr>
        <w:spacing w:line="312" w:lineRule="auto"/>
        <w:jc w:val="both"/>
      </w:pPr>
    </w:p>
    <w:p w:rsidR="00D932FA" w:rsidRDefault="002E76C5" w:rsidP="00D932FA">
      <w:pPr>
        <w:spacing w:line="312" w:lineRule="auto"/>
        <w:jc w:val="both"/>
      </w:pPr>
      <w:r>
        <w:t xml:space="preserve">Oui vous avez été en cette année des partenaires indispensables pour notre projet et nos bénéficiaires. </w:t>
      </w:r>
    </w:p>
    <w:p w:rsidR="002E76C5" w:rsidRDefault="00D932FA" w:rsidP="00D932FA">
      <w:pPr>
        <w:spacing w:line="312" w:lineRule="auto"/>
        <w:jc w:val="both"/>
      </w:pPr>
      <w:r>
        <w:t>Que Dieu vous bénisse abondamment !</w:t>
      </w:r>
    </w:p>
    <w:p w:rsidR="004F61B1" w:rsidRDefault="00427F20" w:rsidP="00427F20">
      <w:pPr>
        <w:spacing w:line="360" w:lineRule="auto"/>
        <w:jc w:val="both"/>
      </w:pPr>
      <w:r>
        <w:t xml:space="preserve">Nous nous engageons de notre part à continuer cette œuvre humanitaire par la grâce de Dieu. </w:t>
      </w:r>
    </w:p>
    <w:p w:rsidR="00D932FA" w:rsidRDefault="00D932FA" w:rsidP="00427F20">
      <w:pPr>
        <w:spacing w:line="360" w:lineRule="auto"/>
        <w:jc w:val="both"/>
      </w:pPr>
    </w:p>
    <w:p w:rsidR="00427F20" w:rsidRDefault="00FC1B89" w:rsidP="00FE631C">
      <w:pPr>
        <w:spacing w:line="360" w:lineRule="auto"/>
        <w:ind w:left="5672"/>
        <w:jc w:val="both"/>
      </w:pPr>
      <w:r>
        <w:t>Le Coordonnateur</w:t>
      </w:r>
      <w:r w:rsidR="00AA0E3A">
        <w:t xml:space="preserve"> du PINV</w:t>
      </w:r>
      <w:r w:rsidR="00427F20">
        <w:t>,</w:t>
      </w:r>
    </w:p>
    <w:p w:rsidR="00D932FA" w:rsidRDefault="00D932FA" w:rsidP="00FE631C">
      <w:pPr>
        <w:spacing w:line="360" w:lineRule="auto"/>
        <w:ind w:left="5672"/>
        <w:jc w:val="both"/>
      </w:pPr>
    </w:p>
    <w:p w:rsidR="00427F20" w:rsidRDefault="00FC1B89" w:rsidP="00427F20">
      <w:pPr>
        <w:spacing w:line="360" w:lineRule="auto"/>
        <w:ind w:left="5672"/>
        <w:jc w:val="both"/>
        <w:rPr>
          <w:b/>
          <w:u w:val="single"/>
        </w:rPr>
      </w:pPr>
      <w:r>
        <w:rPr>
          <w:b/>
          <w:u w:val="single"/>
        </w:rPr>
        <w:t xml:space="preserve">Moïse </w:t>
      </w:r>
      <w:proofErr w:type="spellStart"/>
      <w:r>
        <w:rPr>
          <w:b/>
          <w:u w:val="single"/>
        </w:rPr>
        <w:t>Allassan</w:t>
      </w:r>
      <w:proofErr w:type="spellEnd"/>
      <w:r>
        <w:rPr>
          <w:b/>
          <w:u w:val="single"/>
        </w:rPr>
        <w:t xml:space="preserve"> TCHAPO</w:t>
      </w:r>
    </w:p>
    <w:p w:rsidR="009655F8" w:rsidRDefault="009655F8">
      <w:pPr>
        <w:rPr>
          <w:rFonts w:ascii="Univers" w:hAnsi="Univers"/>
          <w:sz w:val="22"/>
          <w:szCs w:val="22"/>
        </w:rPr>
      </w:pPr>
    </w:p>
    <w:p w:rsidR="00427F20" w:rsidRDefault="00427F20">
      <w:pPr>
        <w:rPr>
          <w:rFonts w:ascii="Univers" w:hAnsi="Univers"/>
          <w:sz w:val="22"/>
          <w:szCs w:val="22"/>
        </w:rPr>
      </w:pPr>
    </w:p>
    <w:p w:rsidR="00427F20" w:rsidRDefault="00427F20">
      <w:pPr>
        <w:rPr>
          <w:rFonts w:ascii="Univers" w:hAnsi="Univers"/>
          <w:sz w:val="22"/>
          <w:szCs w:val="22"/>
        </w:rPr>
      </w:pPr>
    </w:p>
    <w:p w:rsidR="00427F20" w:rsidRDefault="00427F20">
      <w:pPr>
        <w:rPr>
          <w:rFonts w:ascii="Univers" w:hAnsi="Univers"/>
          <w:sz w:val="22"/>
          <w:szCs w:val="22"/>
        </w:rPr>
      </w:pPr>
    </w:p>
    <w:p w:rsidR="00427F20" w:rsidRDefault="00427F20" w:rsidP="00427F20">
      <w:pPr>
        <w:tabs>
          <w:tab w:val="left" w:leader="dot" w:pos="6840"/>
        </w:tabs>
        <w:spacing w:line="360" w:lineRule="auto"/>
        <w:jc w:val="both"/>
        <w:rPr>
          <w:rFonts w:ascii="Univers" w:hAnsi="Univers"/>
          <w:sz w:val="22"/>
          <w:szCs w:val="22"/>
        </w:rPr>
      </w:pPr>
    </w:p>
    <w:p w:rsidR="00D932FA" w:rsidRDefault="00D932FA" w:rsidP="00427F20">
      <w:pPr>
        <w:tabs>
          <w:tab w:val="left" w:leader="dot" w:pos="6840"/>
        </w:tabs>
        <w:spacing w:line="360" w:lineRule="auto"/>
        <w:jc w:val="both"/>
        <w:rPr>
          <w:rFonts w:ascii="Univers" w:hAnsi="Univers"/>
          <w:sz w:val="22"/>
          <w:szCs w:val="22"/>
        </w:rPr>
      </w:pPr>
    </w:p>
    <w:p w:rsidR="00427F20" w:rsidRDefault="00427F20" w:rsidP="00427F20">
      <w:pPr>
        <w:tabs>
          <w:tab w:val="left" w:leader="dot" w:pos="6840"/>
        </w:tabs>
        <w:spacing w:line="360" w:lineRule="auto"/>
        <w:jc w:val="center"/>
        <w:rPr>
          <w:rFonts w:ascii="Algerian" w:hAnsi="Algerian"/>
          <w:sz w:val="40"/>
          <w:szCs w:val="40"/>
        </w:rPr>
      </w:pPr>
      <w:r>
        <w:rPr>
          <w:rFonts w:ascii="Algerian" w:hAnsi="Algerian"/>
          <w:sz w:val="40"/>
          <w:szCs w:val="40"/>
        </w:rPr>
        <w:t>ANNEXE</w:t>
      </w:r>
    </w:p>
    <w:p w:rsidR="00427F20" w:rsidRDefault="00427F20" w:rsidP="00427F20">
      <w:pPr>
        <w:tabs>
          <w:tab w:val="left" w:leader="dot" w:pos="6840"/>
        </w:tabs>
        <w:spacing w:line="360" w:lineRule="auto"/>
        <w:jc w:val="center"/>
        <w:rPr>
          <w:i/>
          <w:sz w:val="28"/>
          <w:szCs w:val="28"/>
        </w:rPr>
      </w:pPr>
    </w:p>
    <w:p w:rsidR="00427F20" w:rsidRDefault="00427F20" w:rsidP="00427F20">
      <w:pPr>
        <w:tabs>
          <w:tab w:val="left" w:leader="dot" w:pos="6840"/>
        </w:tabs>
        <w:spacing w:line="360" w:lineRule="auto"/>
        <w:jc w:val="center"/>
        <w:rPr>
          <w:sz w:val="32"/>
          <w:szCs w:val="32"/>
        </w:rPr>
      </w:pPr>
      <w:r>
        <w:rPr>
          <w:sz w:val="32"/>
          <w:szCs w:val="32"/>
        </w:rPr>
        <w:t xml:space="preserve">Détail des opérations comptables et financières  </w:t>
      </w:r>
    </w:p>
    <w:p w:rsidR="00427F20" w:rsidRDefault="00FC1B89" w:rsidP="00427F20">
      <w:pPr>
        <w:tabs>
          <w:tab w:val="left" w:leader="dot" w:pos="6840"/>
        </w:tabs>
        <w:spacing w:line="360" w:lineRule="auto"/>
        <w:jc w:val="center"/>
        <w:rPr>
          <w:i/>
          <w:sz w:val="28"/>
          <w:szCs w:val="28"/>
          <w:u w:val="single"/>
        </w:rPr>
      </w:pPr>
      <w:r>
        <w:rPr>
          <w:sz w:val="32"/>
          <w:szCs w:val="32"/>
          <w:u w:val="single"/>
        </w:rPr>
        <w:t>Période du 24</w:t>
      </w:r>
      <w:r w:rsidR="00427F20">
        <w:rPr>
          <w:sz w:val="32"/>
          <w:szCs w:val="32"/>
          <w:u w:val="single"/>
        </w:rPr>
        <w:t xml:space="preserve"> </w:t>
      </w:r>
      <w:r>
        <w:rPr>
          <w:sz w:val="32"/>
          <w:szCs w:val="32"/>
          <w:u w:val="single"/>
        </w:rPr>
        <w:t>novembre 2015 au 11 février 2016</w:t>
      </w:r>
      <w:r w:rsidR="00427F20">
        <w:rPr>
          <w:sz w:val="32"/>
          <w:szCs w:val="32"/>
          <w:u w:val="single"/>
        </w:rPr>
        <w:br/>
      </w:r>
    </w:p>
    <w:p w:rsidR="00427F20" w:rsidRPr="004F61B1" w:rsidRDefault="004F61B1" w:rsidP="004F61B1">
      <w:pPr>
        <w:jc w:val="center"/>
        <w:rPr>
          <w:rFonts w:ascii="Univers" w:hAnsi="Univers"/>
          <w:b/>
          <w:i/>
          <w:color w:val="FF0000"/>
          <w:sz w:val="36"/>
          <w:szCs w:val="22"/>
        </w:rPr>
      </w:pPr>
      <w:r w:rsidRPr="004F61B1">
        <w:rPr>
          <w:rFonts w:ascii="Univers" w:hAnsi="Univers"/>
          <w:b/>
          <w:i/>
          <w:color w:val="FF0000"/>
          <w:sz w:val="36"/>
          <w:szCs w:val="22"/>
        </w:rPr>
        <w:t>(DOCUMENTS SCANNERS)</w:t>
      </w:r>
      <w:r w:rsidR="00427F20" w:rsidRPr="004F61B1">
        <w:rPr>
          <w:rFonts w:ascii="Univers" w:hAnsi="Univers"/>
          <w:b/>
          <w:i/>
          <w:color w:val="FF0000"/>
          <w:sz w:val="36"/>
          <w:szCs w:val="22"/>
        </w:rPr>
        <w:br/>
      </w:r>
    </w:p>
    <w:p w:rsidR="00427F20" w:rsidRDefault="00427F20" w:rsidP="00427F20">
      <w:pPr>
        <w:rPr>
          <w:rFonts w:ascii="Univers" w:hAnsi="Univers"/>
          <w:sz w:val="22"/>
          <w:szCs w:val="22"/>
        </w:rPr>
      </w:pPr>
    </w:p>
    <w:p w:rsidR="00427F20" w:rsidRPr="00427F20" w:rsidRDefault="00427F20">
      <w:pPr>
        <w:rPr>
          <w:rFonts w:ascii="Univers" w:hAnsi="Univers"/>
          <w:sz w:val="22"/>
          <w:szCs w:val="22"/>
        </w:rPr>
      </w:pPr>
    </w:p>
    <w:sectPr w:rsidR="00427F20" w:rsidRPr="00427F20" w:rsidSect="005435E4">
      <w:footerReference w:type="default" r:id="rId7"/>
      <w:pgSz w:w="11906" w:h="16838"/>
      <w:pgMar w:top="851" w:right="851" w:bottom="851" w:left="851" w:header="680" w:footer="62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3E" w:rsidRDefault="00821A3E" w:rsidP="00FF0C1A">
      <w:r>
        <w:separator/>
      </w:r>
    </w:p>
  </w:endnote>
  <w:endnote w:type="continuationSeparator" w:id="0">
    <w:p w:rsidR="00821A3E" w:rsidRDefault="00821A3E" w:rsidP="00FF0C1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20B0603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AC4" w:rsidRPr="00D806D9" w:rsidRDefault="00D806D9" w:rsidP="00D806D9">
    <w:pPr>
      <w:pStyle w:val="Pieddepage"/>
    </w:pPr>
    <w:r>
      <w:rPr>
        <w:lang w:val="es-ES"/>
      </w:rPr>
      <w:t xml:space="preserve">18B.P:45 Avédzi-Lomé18 </w:t>
    </w:r>
    <w:r w:rsidRPr="00AB122C">
      <w:rPr>
        <w:lang w:val="es-ES"/>
      </w:rPr>
      <w:t xml:space="preserve">Togo </w:t>
    </w:r>
    <w:r>
      <w:rPr>
        <w:lang w:val="es-ES"/>
      </w:rPr>
      <w:t>Tel</w:t>
    </w:r>
    <w:proofErr w:type="gramStart"/>
    <w:r>
      <w:rPr>
        <w:lang w:val="es-ES"/>
      </w:rPr>
      <w:t>.</w:t>
    </w:r>
    <w:r w:rsidR="00732C04">
      <w:rPr>
        <w:lang w:val="es-ES"/>
      </w:rPr>
      <w:t>:</w:t>
    </w:r>
    <w:proofErr w:type="gramEnd"/>
    <w:r w:rsidR="00732C04">
      <w:rPr>
        <w:lang w:val="es-ES"/>
      </w:rPr>
      <w:t>(+</w:t>
    </w:r>
    <w:r>
      <w:rPr>
        <w:lang w:val="es-ES"/>
      </w:rPr>
      <w:t>228</w:t>
    </w:r>
    <w:r w:rsidR="00732C04">
      <w:rPr>
        <w:lang w:val="es-ES"/>
      </w:rPr>
      <w:t>)</w:t>
    </w:r>
    <w:r>
      <w:rPr>
        <w:lang w:val="es-ES"/>
      </w:rPr>
      <w:t> 9806 2442 / 2240 0101 Email:</w:t>
    </w:r>
    <w:hyperlink r:id="rId1" w:history="1">
      <w:r w:rsidRPr="00687B05">
        <w:rPr>
          <w:rStyle w:val="Lienhypertexte"/>
          <w:lang w:val="es-ES"/>
        </w:rPr>
        <w:t>representation_togo@yahoo.fr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3E" w:rsidRDefault="00821A3E" w:rsidP="00FF0C1A">
      <w:r>
        <w:separator/>
      </w:r>
    </w:p>
  </w:footnote>
  <w:footnote w:type="continuationSeparator" w:id="0">
    <w:p w:rsidR="00821A3E" w:rsidRDefault="00821A3E" w:rsidP="00FF0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E5BE30EE"/>
    <w:lvl w:ilvl="0" w:tplc="6BE0E8B2">
      <w:start w:val="1"/>
      <w:numFmt w:val="bullet"/>
      <w:lvlText w:val="-"/>
      <w:lvlJc w:val="left"/>
      <w:pPr>
        <w:ind w:left="720" w:hanging="360"/>
      </w:pPr>
      <w:rPr>
        <w:rFonts w:ascii="Univers" w:eastAsia="Times New Roman" w:hAnsi="Univers" w:cs="Times New Roman" w:hint="default"/>
      </w:rPr>
    </w:lvl>
    <w:lvl w:ilvl="1" w:tplc="8EBE716C" w:tentative="1">
      <w:start w:val="1"/>
      <w:numFmt w:val="bullet"/>
      <w:lvlText w:val="o"/>
      <w:lvlJc w:val="left"/>
      <w:pPr>
        <w:ind w:left="1440" w:hanging="360"/>
      </w:pPr>
      <w:rPr>
        <w:rFonts w:ascii="Courier New" w:hAnsi="Courier New" w:cs="Courier New" w:hint="default"/>
      </w:rPr>
    </w:lvl>
    <w:lvl w:ilvl="2" w:tplc="DFFA100A" w:tentative="1">
      <w:start w:val="1"/>
      <w:numFmt w:val="bullet"/>
      <w:lvlText w:val=""/>
      <w:lvlJc w:val="left"/>
      <w:pPr>
        <w:ind w:left="2160" w:hanging="360"/>
      </w:pPr>
      <w:rPr>
        <w:rFonts w:ascii="Wingdings" w:hAnsi="Wingdings" w:hint="default"/>
      </w:rPr>
    </w:lvl>
    <w:lvl w:ilvl="3" w:tplc="CF2C641A" w:tentative="1">
      <w:start w:val="1"/>
      <w:numFmt w:val="bullet"/>
      <w:lvlText w:val=""/>
      <w:lvlJc w:val="left"/>
      <w:pPr>
        <w:ind w:left="2880" w:hanging="360"/>
      </w:pPr>
      <w:rPr>
        <w:rFonts w:ascii="Symbol" w:hAnsi="Symbol" w:hint="default"/>
      </w:rPr>
    </w:lvl>
    <w:lvl w:ilvl="4" w:tplc="AB56A212" w:tentative="1">
      <w:start w:val="1"/>
      <w:numFmt w:val="bullet"/>
      <w:lvlText w:val="o"/>
      <w:lvlJc w:val="left"/>
      <w:pPr>
        <w:ind w:left="3600" w:hanging="360"/>
      </w:pPr>
      <w:rPr>
        <w:rFonts w:ascii="Courier New" w:hAnsi="Courier New" w:cs="Courier New" w:hint="default"/>
      </w:rPr>
    </w:lvl>
    <w:lvl w:ilvl="5" w:tplc="F7BEE898" w:tentative="1">
      <w:start w:val="1"/>
      <w:numFmt w:val="bullet"/>
      <w:lvlText w:val=""/>
      <w:lvlJc w:val="left"/>
      <w:pPr>
        <w:ind w:left="4320" w:hanging="360"/>
      </w:pPr>
      <w:rPr>
        <w:rFonts w:ascii="Wingdings" w:hAnsi="Wingdings" w:hint="default"/>
      </w:rPr>
    </w:lvl>
    <w:lvl w:ilvl="6" w:tplc="B2D66D82" w:tentative="1">
      <w:start w:val="1"/>
      <w:numFmt w:val="bullet"/>
      <w:lvlText w:val=""/>
      <w:lvlJc w:val="left"/>
      <w:pPr>
        <w:ind w:left="5040" w:hanging="360"/>
      </w:pPr>
      <w:rPr>
        <w:rFonts w:ascii="Symbol" w:hAnsi="Symbol" w:hint="default"/>
      </w:rPr>
    </w:lvl>
    <w:lvl w:ilvl="7" w:tplc="89EA5158" w:tentative="1">
      <w:start w:val="1"/>
      <w:numFmt w:val="bullet"/>
      <w:lvlText w:val="o"/>
      <w:lvlJc w:val="left"/>
      <w:pPr>
        <w:ind w:left="5760" w:hanging="360"/>
      </w:pPr>
      <w:rPr>
        <w:rFonts w:ascii="Courier New" w:hAnsi="Courier New" w:cs="Courier New" w:hint="default"/>
      </w:rPr>
    </w:lvl>
    <w:lvl w:ilvl="8" w:tplc="3724D6B4" w:tentative="1">
      <w:start w:val="1"/>
      <w:numFmt w:val="bullet"/>
      <w:lvlText w:val=""/>
      <w:lvlJc w:val="left"/>
      <w:pPr>
        <w:ind w:left="6480" w:hanging="360"/>
      </w:pPr>
      <w:rPr>
        <w:rFonts w:ascii="Wingdings" w:hAnsi="Wingdings" w:hint="default"/>
      </w:rPr>
    </w:lvl>
  </w:abstractNum>
  <w:abstractNum w:abstractNumId="1">
    <w:nsid w:val="00000024"/>
    <w:multiLevelType w:val="hybridMultilevel"/>
    <w:tmpl w:val="288CC530"/>
    <w:lvl w:ilvl="0" w:tplc="6F5ED97E">
      <w:start w:val="1"/>
      <w:numFmt w:val="bullet"/>
      <w:lvlText w:val=""/>
      <w:lvlJc w:val="left"/>
      <w:pPr>
        <w:ind w:left="720" w:hanging="360"/>
      </w:pPr>
      <w:rPr>
        <w:rFonts w:ascii="Wingdings" w:hAnsi="Wingdings" w:hint="default"/>
      </w:rPr>
    </w:lvl>
    <w:lvl w:ilvl="1" w:tplc="6982075A" w:tentative="1">
      <w:start w:val="1"/>
      <w:numFmt w:val="bullet"/>
      <w:lvlText w:val="o"/>
      <w:lvlJc w:val="left"/>
      <w:pPr>
        <w:ind w:left="1440" w:hanging="360"/>
      </w:pPr>
      <w:rPr>
        <w:rFonts w:ascii="Courier New" w:hAnsi="Courier New" w:cs="Courier New" w:hint="default"/>
      </w:rPr>
    </w:lvl>
    <w:lvl w:ilvl="2" w:tplc="8736AC64" w:tentative="1">
      <w:start w:val="1"/>
      <w:numFmt w:val="bullet"/>
      <w:lvlText w:val=""/>
      <w:lvlJc w:val="left"/>
      <w:pPr>
        <w:ind w:left="2160" w:hanging="360"/>
      </w:pPr>
      <w:rPr>
        <w:rFonts w:ascii="Wingdings" w:hAnsi="Wingdings" w:hint="default"/>
      </w:rPr>
    </w:lvl>
    <w:lvl w:ilvl="3" w:tplc="F5960628" w:tentative="1">
      <w:start w:val="1"/>
      <w:numFmt w:val="bullet"/>
      <w:lvlText w:val=""/>
      <w:lvlJc w:val="left"/>
      <w:pPr>
        <w:ind w:left="2880" w:hanging="360"/>
      </w:pPr>
      <w:rPr>
        <w:rFonts w:ascii="Symbol" w:hAnsi="Symbol" w:hint="default"/>
      </w:rPr>
    </w:lvl>
    <w:lvl w:ilvl="4" w:tplc="86B420E0" w:tentative="1">
      <w:start w:val="1"/>
      <w:numFmt w:val="bullet"/>
      <w:lvlText w:val="o"/>
      <w:lvlJc w:val="left"/>
      <w:pPr>
        <w:ind w:left="3600" w:hanging="360"/>
      </w:pPr>
      <w:rPr>
        <w:rFonts w:ascii="Courier New" w:hAnsi="Courier New" w:cs="Courier New" w:hint="default"/>
      </w:rPr>
    </w:lvl>
    <w:lvl w:ilvl="5" w:tplc="AE903B68" w:tentative="1">
      <w:start w:val="1"/>
      <w:numFmt w:val="bullet"/>
      <w:lvlText w:val=""/>
      <w:lvlJc w:val="left"/>
      <w:pPr>
        <w:ind w:left="4320" w:hanging="360"/>
      </w:pPr>
      <w:rPr>
        <w:rFonts w:ascii="Wingdings" w:hAnsi="Wingdings" w:hint="default"/>
      </w:rPr>
    </w:lvl>
    <w:lvl w:ilvl="6" w:tplc="67547A8A" w:tentative="1">
      <w:start w:val="1"/>
      <w:numFmt w:val="bullet"/>
      <w:lvlText w:val=""/>
      <w:lvlJc w:val="left"/>
      <w:pPr>
        <w:ind w:left="5040" w:hanging="360"/>
      </w:pPr>
      <w:rPr>
        <w:rFonts w:ascii="Symbol" w:hAnsi="Symbol" w:hint="default"/>
      </w:rPr>
    </w:lvl>
    <w:lvl w:ilvl="7" w:tplc="7338CA28" w:tentative="1">
      <w:start w:val="1"/>
      <w:numFmt w:val="bullet"/>
      <w:lvlText w:val="o"/>
      <w:lvlJc w:val="left"/>
      <w:pPr>
        <w:ind w:left="5760" w:hanging="360"/>
      </w:pPr>
      <w:rPr>
        <w:rFonts w:ascii="Courier New" w:hAnsi="Courier New" w:cs="Courier New" w:hint="default"/>
      </w:rPr>
    </w:lvl>
    <w:lvl w:ilvl="8" w:tplc="1DDE418A" w:tentative="1">
      <w:start w:val="1"/>
      <w:numFmt w:val="bullet"/>
      <w:lvlText w:val=""/>
      <w:lvlJc w:val="left"/>
      <w:pPr>
        <w:ind w:left="6480" w:hanging="360"/>
      </w:pPr>
      <w:rPr>
        <w:rFonts w:ascii="Wingdings" w:hAnsi="Wingdings" w:hint="default"/>
      </w:rPr>
    </w:lvl>
  </w:abstractNum>
  <w:abstractNum w:abstractNumId="2">
    <w:nsid w:val="17AC600A"/>
    <w:multiLevelType w:val="hybridMultilevel"/>
    <w:tmpl w:val="509CE4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FD37A2"/>
    <w:multiLevelType w:val="hybridMultilevel"/>
    <w:tmpl w:val="D68C45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5676CD"/>
    <w:multiLevelType w:val="hybridMultilevel"/>
    <w:tmpl w:val="A908213E"/>
    <w:lvl w:ilvl="0" w:tplc="7BFAB8A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W23JT559tmjrnYYWl4glqdLT+/I=" w:salt="Tfp6gozg65edhQrDCW1ogg=="/>
  <w:defaultTabStop w:val="708"/>
  <w:hyphenationZone w:val="425"/>
  <w:characterSpacingControl w:val="doNotCompress"/>
  <w:hdrShapeDefaults>
    <o:shapedefaults v:ext="edit" spidmax="58370"/>
  </w:hdrShapeDefaults>
  <w:footnotePr>
    <w:footnote w:id="-1"/>
    <w:footnote w:id="0"/>
  </w:footnotePr>
  <w:endnotePr>
    <w:endnote w:id="-1"/>
    <w:endnote w:id="0"/>
  </w:endnotePr>
  <w:compat/>
  <w:rsids>
    <w:rsidRoot w:val="00213083"/>
    <w:rsid w:val="0003357F"/>
    <w:rsid w:val="00061E47"/>
    <w:rsid w:val="00066189"/>
    <w:rsid w:val="00106493"/>
    <w:rsid w:val="00136A57"/>
    <w:rsid w:val="00147541"/>
    <w:rsid w:val="00173B18"/>
    <w:rsid w:val="001A66E1"/>
    <w:rsid w:val="001B55EA"/>
    <w:rsid w:val="001D3A88"/>
    <w:rsid w:val="001D3C45"/>
    <w:rsid w:val="00213083"/>
    <w:rsid w:val="00246F38"/>
    <w:rsid w:val="002873E6"/>
    <w:rsid w:val="00292905"/>
    <w:rsid w:val="00294B78"/>
    <w:rsid w:val="002E76C5"/>
    <w:rsid w:val="002F1C7D"/>
    <w:rsid w:val="002F7750"/>
    <w:rsid w:val="003100C5"/>
    <w:rsid w:val="00320F02"/>
    <w:rsid w:val="0036317B"/>
    <w:rsid w:val="00370AD8"/>
    <w:rsid w:val="00386DE4"/>
    <w:rsid w:val="003A39E0"/>
    <w:rsid w:val="003A47AE"/>
    <w:rsid w:val="003E4DC3"/>
    <w:rsid w:val="003F17CF"/>
    <w:rsid w:val="00416409"/>
    <w:rsid w:val="00427F20"/>
    <w:rsid w:val="00430EF2"/>
    <w:rsid w:val="00435438"/>
    <w:rsid w:val="00441A9B"/>
    <w:rsid w:val="00470ED7"/>
    <w:rsid w:val="00473D3A"/>
    <w:rsid w:val="004F61B1"/>
    <w:rsid w:val="00512ED5"/>
    <w:rsid w:val="005239C6"/>
    <w:rsid w:val="005354A4"/>
    <w:rsid w:val="005537AB"/>
    <w:rsid w:val="005A05F2"/>
    <w:rsid w:val="0064397F"/>
    <w:rsid w:val="00645C0E"/>
    <w:rsid w:val="006641CD"/>
    <w:rsid w:val="00686393"/>
    <w:rsid w:val="00731F38"/>
    <w:rsid w:val="00732C04"/>
    <w:rsid w:val="007930CC"/>
    <w:rsid w:val="007A0D3B"/>
    <w:rsid w:val="00814112"/>
    <w:rsid w:val="00821A3E"/>
    <w:rsid w:val="008261F1"/>
    <w:rsid w:val="00830CF8"/>
    <w:rsid w:val="0086639B"/>
    <w:rsid w:val="00871463"/>
    <w:rsid w:val="0088602C"/>
    <w:rsid w:val="00896EB3"/>
    <w:rsid w:val="008B6D00"/>
    <w:rsid w:val="008D0E55"/>
    <w:rsid w:val="008D2705"/>
    <w:rsid w:val="008E37CC"/>
    <w:rsid w:val="009221F7"/>
    <w:rsid w:val="009655F8"/>
    <w:rsid w:val="00995531"/>
    <w:rsid w:val="00A5188A"/>
    <w:rsid w:val="00A6020B"/>
    <w:rsid w:val="00A668D3"/>
    <w:rsid w:val="00AA0E3A"/>
    <w:rsid w:val="00AF1FBB"/>
    <w:rsid w:val="00B12273"/>
    <w:rsid w:val="00B23C29"/>
    <w:rsid w:val="00BC3A34"/>
    <w:rsid w:val="00BF646B"/>
    <w:rsid w:val="00CC2D49"/>
    <w:rsid w:val="00D2111E"/>
    <w:rsid w:val="00D44FED"/>
    <w:rsid w:val="00D806D9"/>
    <w:rsid w:val="00D932FA"/>
    <w:rsid w:val="00DC4452"/>
    <w:rsid w:val="00E87474"/>
    <w:rsid w:val="00EF186C"/>
    <w:rsid w:val="00EF27C8"/>
    <w:rsid w:val="00FB01B4"/>
    <w:rsid w:val="00FC1B89"/>
    <w:rsid w:val="00FE09AD"/>
    <w:rsid w:val="00FE631C"/>
    <w:rsid w:val="00FF0C1A"/>
    <w:rsid w:val="00FF2D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83"/>
    <w:pPr>
      <w:tabs>
        <w:tab w:val="left" w:pos="3450"/>
      </w:tabs>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27F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13083"/>
    <w:pPr>
      <w:tabs>
        <w:tab w:val="center" w:pos="4536"/>
        <w:tab w:val="right" w:pos="9072"/>
      </w:tabs>
    </w:pPr>
  </w:style>
  <w:style w:type="character" w:customStyle="1" w:styleId="En-tteCar">
    <w:name w:val="En-tête Car"/>
    <w:basedOn w:val="Policepardfaut"/>
    <w:link w:val="En-tte"/>
    <w:uiPriority w:val="99"/>
    <w:rsid w:val="0021308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13083"/>
    <w:pPr>
      <w:tabs>
        <w:tab w:val="center" w:pos="4536"/>
        <w:tab w:val="right" w:pos="9072"/>
      </w:tabs>
    </w:pPr>
  </w:style>
  <w:style w:type="character" w:customStyle="1" w:styleId="PieddepageCar">
    <w:name w:val="Pied de page Car"/>
    <w:basedOn w:val="Policepardfaut"/>
    <w:link w:val="Pieddepage"/>
    <w:uiPriority w:val="99"/>
    <w:rsid w:val="00213083"/>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213083"/>
    <w:rPr>
      <w:color w:val="0000FF"/>
      <w:u w:val="single"/>
    </w:rPr>
  </w:style>
  <w:style w:type="paragraph" w:styleId="Paragraphedeliste">
    <w:name w:val="List Paragraph"/>
    <w:basedOn w:val="Normal"/>
    <w:uiPriority w:val="34"/>
    <w:qFormat/>
    <w:rsid w:val="00427F20"/>
    <w:pPr>
      <w:tabs>
        <w:tab w:val="clear" w:pos="3450"/>
      </w:tabs>
      <w:ind w:left="720"/>
      <w:contextualSpacing/>
    </w:pPr>
    <w:rPr>
      <w:lang w:val="en-US" w:eastAsia="en-US"/>
    </w:rPr>
  </w:style>
  <w:style w:type="character" w:customStyle="1" w:styleId="Titre1Car">
    <w:name w:val="Titre 1 Car"/>
    <w:basedOn w:val="Policepardfaut"/>
    <w:link w:val="Titre1"/>
    <w:uiPriority w:val="9"/>
    <w:rsid w:val="00427F20"/>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qFormat/>
    <w:rsid w:val="00427F20"/>
    <w:pPr>
      <w:tabs>
        <w:tab w:val="clear" w:pos="3450"/>
      </w:tabs>
      <w:spacing w:line="276" w:lineRule="auto"/>
      <w:outlineLvl w:val="9"/>
    </w:pPr>
    <w:rPr>
      <w:color w:val="auto"/>
      <w:lang w:eastAsia="en-US"/>
    </w:rPr>
  </w:style>
  <w:style w:type="paragraph" w:styleId="TM1">
    <w:name w:val="toc 1"/>
    <w:basedOn w:val="Normal"/>
    <w:next w:val="Normal"/>
    <w:uiPriority w:val="39"/>
    <w:rsid w:val="00427F20"/>
    <w:pPr>
      <w:tabs>
        <w:tab w:val="clear" w:pos="3450"/>
      </w:tabs>
      <w:spacing w:after="100"/>
    </w:pPr>
  </w:style>
  <w:style w:type="table" w:styleId="Grilledutableau">
    <w:name w:val="Table Grid"/>
    <w:basedOn w:val="TableauNormal"/>
    <w:uiPriority w:val="59"/>
    <w:rsid w:val="00427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presentation_togo@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1123</Words>
  <Characters>6182</Characters>
  <Application>Microsoft Office Word</Application>
  <DocSecurity>8</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Moïse</dc:creator>
  <cp:lastModifiedBy>TOGOCEL</cp:lastModifiedBy>
  <cp:revision>15</cp:revision>
  <dcterms:created xsi:type="dcterms:W3CDTF">2016-02-12T09:40:00Z</dcterms:created>
  <dcterms:modified xsi:type="dcterms:W3CDTF">2016-02-13T16:25:00Z</dcterms:modified>
</cp:coreProperties>
</file>